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oleObject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2880"/>
        <w:gridCol w:w="3708"/>
        <w:gridCol w:w="2880"/>
      </w:tblGrid>
      <w:tr w:rsidR="004A1180">
        <w:trPr>
          <w:trHeight w:val="336"/>
          <w:jc w:val="center"/>
        </w:trPr>
        <w:tc>
          <w:tcPr>
            <w:tcW w:w="2880" w:type="dxa"/>
            <w:vAlign w:val="center"/>
          </w:tcPr>
          <w:p w:rsidR="004A1180" w:rsidRPr="00C2777D" w:rsidRDefault="004A1180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 w:rsidRPr="00764CFA">
              <w:rPr>
                <w:sz w:val="12"/>
                <w:bdr w:val="single" w:sz="18" w:space="0" w:color="808080" w:themeColor="background1" w:themeShade="80"/>
                <w:shd w:val="clear" w:color="auto" w:fill="E6E6E6"/>
              </w:rPr>
              <w:t xml:space="preserve"> </w:t>
            </w:r>
            <w:r w:rsidRPr="005A164E">
              <w:rPr>
                <w:b w:val="0"/>
                <w:bdr w:val="single" w:sz="18" w:space="0" w:color="808080" w:themeColor="background1" w:themeShade="80"/>
                <w:shd w:val="clear" w:color="auto" w:fill="E6E6E6"/>
              </w:rPr>
              <w:t>CO</w:t>
            </w:r>
            <w:r w:rsidRPr="005A164E">
              <w:rPr>
                <w:b w:val="0"/>
                <w:color w:val="008000"/>
                <w:bdr w:val="single" w:sz="18" w:space="0" w:color="808080" w:themeColor="background1" w:themeShade="80"/>
                <w:shd w:val="clear" w:color="auto" w:fill="E6E6E6"/>
              </w:rPr>
              <w:t>NC</w:t>
            </w:r>
            <w:r w:rsidRPr="005A164E">
              <w:rPr>
                <w:b w:val="0"/>
                <w:bdr w:val="single" w:sz="18" w:space="0" w:color="808080" w:themeColor="background1" w:themeShade="80"/>
                <w:shd w:val="clear" w:color="auto" w:fill="E6E6E6"/>
              </w:rPr>
              <w:t>EPT</w:t>
            </w:r>
            <w:r w:rsidRPr="005A164E">
              <w:rPr>
                <w:b w:val="0"/>
                <w:color w:val="FF0000"/>
                <w:bdr w:val="single" w:sz="18" w:space="0" w:color="808080" w:themeColor="background1" w:themeShade="80"/>
                <w:shd w:val="clear" w:color="auto" w:fill="E6E6E6"/>
              </w:rPr>
              <w:t>U</w:t>
            </w:r>
            <w:r w:rsidRPr="005A164E">
              <w:rPr>
                <w:b w:val="0"/>
                <w:bdr w:val="single" w:sz="18" w:space="0" w:color="808080" w:themeColor="background1" w:themeShade="80"/>
                <w:shd w:val="clear" w:color="auto" w:fill="E6E6E6"/>
              </w:rPr>
              <w:t>AL</w:t>
            </w:r>
            <w:r w:rsidRPr="00764CFA">
              <w:rPr>
                <w:bdr w:val="single" w:sz="18" w:space="0" w:color="808080" w:themeColor="background1" w:themeShade="80"/>
                <w:shd w:val="clear" w:color="auto" w:fill="E6E6E6"/>
              </w:rPr>
              <w:t xml:space="preserve"> </w:t>
            </w:r>
            <w:r w:rsidRPr="005A164E">
              <w:rPr>
                <w:rFonts w:ascii="Bank Gothic" w:hAnsi="Bank Gothic"/>
                <w:color w:val="7F7F7F" w:themeColor="text1" w:themeTint="80"/>
                <w:bdr w:val="single" w:sz="18" w:space="0" w:color="808080" w:themeColor="background1" w:themeShade="80"/>
                <w:shd w:val="clear" w:color="auto" w:fill="E6E6E6"/>
              </w:rPr>
              <w:t>TOOLS</w:t>
            </w:r>
          </w:p>
        </w:tc>
        <w:tc>
          <w:tcPr>
            <w:tcW w:w="3708" w:type="dxa"/>
          </w:tcPr>
          <w:p w:rsidR="004A1180" w:rsidRDefault="004A1180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:rsidR="004A1180" w:rsidRPr="00C2777D" w:rsidRDefault="004A1180" w:rsidP="00F301BC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t>Probability</w:t>
            </w:r>
          </w:p>
        </w:tc>
      </w:tr>
      <w:tr w:rsidR="004A1180">
        <w:trPr>
          <w:jc w:val="center"/>
        </w:trPr>
        <w:tc>
          <w:tcPr>
            <w:tcW w:w="2880" w:type="dxa"/>
          </w:tcPr>
          <w:p w:rsidR="004A1180" w:rsidRDefault="004A118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:rsidR="004A1180" w:rsidRDefault="004A118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:rsidR="004A1180" w:rsidRDefault="004A118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Conditional probability</w:t>
            </w:r>
          </w:p>
        </w:tc>
      </w:tr>
      <w:tr w:rsidR="004A1180">
        <w:trPr>
          <w:jc w:val="center"/>
        </w:trPr>
        <w:tc>
          <w:tcPr>
            <w:tcW w:w="2880" w:type="dxa"/>
          </w:tcPr>
          <w:p w:rsidR="004A1180" w:rsidRDefault="004A1180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:rsidR="004A1180" w:rsidRDefault="004A1180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:rsidR="004A1180" w:rsidRDefault="004A1180">
            <w:pPr>
              <w:pStyle w:val="Heading3"/>
              <w:keepNext/>
              <w:spacing w:line="200" w:lineRule="atLeast"/>
              <w:ind w:left="0"/>
            </w:pPr>
            <w:r>
              <w:t>Discrete random variables</w:t>
            </w:r>
          </w:p>
        </w:tc>
      </w:tr>
      <w:tr w:rsidR="004A1180">
        <w:trPr>
          <w:jc w:val="center"/>
        </w:trPr>
        <w:tc>
          <w:tcPr>
            <w:tcW w:w="2880" w:type="dxa"/>
          </w:tcPr>
          <w:p w:rsidR="004A1180" w:rsidRDefault="004A1180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:rsidR="004A1180" w:rsidRDefault="004A1180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:rsidR="004A1180" w:rsidRDefault="004A1180" w:rsidP="00626C7F">
            <w:pPr>
              <w:pStyle w:val="Heading4"/>
              <w:keepNext/>
              <w:jc w:val="right"/>
            </w:pPr>
            <w:r>
              <w:t>Spy game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:rsidR="00F301BC" w:rsidRDefault="00890DCC" w:rsidP="003846F8">
            <w:pPr>
              <w:pStyle w:val="Heading5"/>
              <w:jc w:val="right"/>
            </w:pPr>
            <w:r>
              <w:t>E</w:t>
            </w:r>
            <w:r w:rsidR="005F5B4C">
              <w:t xml:space="preserve">x </w:t>
            </w:r>
            <w:r w:rsidR="003846F8">
              <w:t>3</w:t>
            </w:r>
          </w:p>
        </w:tc>
      </w:tr>
    </w:tbl>
    <w:p w:rsidR="00F301BC" w:rsidRDefault="001B3C57">
      <w:pPr>
        <w:spacing w:line="180" w:lineRule="exact"/>
        <w:ind w:left="-1800" w:right="-1800"/>
      </w:pPr>
      <w:r>
        <w:pict>
          <v:rect id="_x0000_i1025" style="width:576.5pt;height:1pt" o:hrpct="942" o:hralign="center" o:hrstd="t" o:hrnoshade="t" o:hr="t" fillcolor="black" stroked="f"/>
        </w:pict>
      </w:r>
    </w:p>
    <w:p w:rsidR="00F301BC" w:rsidRDefault="00F301BC">
      <w:pPr>
        <w:pStyle w:val="Heading3"/>
        <w:spacing w:line="320" w:lineRule="exact"/>
        <w:ind w:left="0"/>
        <w:jc w:val="left"/>
      </w:pPr>
    </w:p>
    <w:p w:rsidR="00F301BC" w:rsidRDefault="00F301BC">
      <w:pPr>
        <w:pStyle w:val="ct"/>
      </w:pPr>
      <w:r>
        <w:rPr>
          <w:b/>
          <w:smallCaps/>
        </w:rPr>
        <w:t>Ex</w:t>
      </w:r>
      <w:r>
        <w:rPr>
          <w:b/>
        </w:rPr>
        <w:t>:</w:t>
      </w:r>
      <w:r>
        <w:tab/>
      </w:r>
      <w:r w:rsidR="004A1180">
        <w:t>For the Spy Game (see Conceptual Tools: Probability: Conditional Probability: Discrete random variables: spy game)</w:t>
      </w:r>
      <w:r w:rsidR="00626C7F">
        <w:t>, we ca</w:t>
      </w:r>
      <w:r w:rsidR="009146D8">
        <w:t>lculate the following probabilit</w:t>
      </w:r>
      <w:r w:rsidR="00B44906">
        <w:t>y</w:t>
      </w:r>
      <w:r w:rsidR="009146D8">
        <w:t>:</w:t>
      </w:r>
    </w:p>
    <w:p w:rsidR="002A306F" w:rsidRPr="009146D8" w:rsidRDefault="002A306F" w:rsidP="009146D8">
      <w:pPr>
        <w:pStyle w:val="HWa"/>
        <w:tabs>
          <w:tab w:val="clear" w:pos="4860"/>
          <w:tab w:val="clear" w:pos="5300"/>
          <w:tab w:val="left" w:pos="2760"/>
          <w:tab w:val="left" w:pos="3960"/>
          <w:tab w:val="left" w:pos="5160"/>
          <w:tab w:val="left" w:pos="6360"/>
          <w:tab w:val="left" w:pos="7560"/>
        </w:tabs>
        <w:spacing w:before="180"/>
        <w:rPr>
          <w:rFonts w:ascii="Times-Roman" w:hAnsi="Times-Roman"/>
        </w:rPr>
      </w:pPr>
      <w:r>
        <w:tab/>
        <w:t xml:space="preserve">P(player = </w:t>
      </w:r>
      <w:r w:rsidR="00863B2D">
        <w:t>blue</w:t>
      </w:r>
      <w:r>
        <w:t xml:space="preserve"> | </w:t>
      </w:r>
      <w:r w:rsidR="007E149D">
        <w:t xml:space="preserve">1st </w:t>
      </w:r>
      <w:r>
        <w:t>public die = 2</w:t>
      </w:r>
      <w:r w:rsidR="007E149D">
        <w:t>,</w:t>
      </w:r>
      <w:r>
        <w:t xml:space="preserve"> result = miss</w:t>
      </w:r>
      <w:r w:rsidR="007E149D">
        <w:t xml:space="preserve">, 2nd </w:t>
      </w:r>
      <w:r w:rsidR="00225C6B">
        <w:t xml:space="preserve">public </w:t>
      </w:r>
      <w:r w:rsidR="007E149D">
        <w:t>die =</w:t>
      </w:r>
      <w:r w:rsidR="00421D8B">
        <w:t>3</w:t>
      </w:r>
      <w:r w:rsidR="007E149D">
        <w:t xml:space="preserve">, result = </w:t>
      </w:r>
      <w:r w:rsidR="00863B2D">
        <w:t>miss</w:t>
      </w:r>
      <w:r>
        <w:t>)</w:t>
      </w:r>
    </w:p>
    <w:p w:rsidR="00B04DF3" w:rsidRDefault="00B04DF3" w:rsidP="00B04DF3">
      <w:pPr>
        <w:pStyle w:val="ctnote"/>
      </w:pPr>
      <w:r>
        <w:rPr>
          <w:b/>
          <w:smallCaps/>
        </w:rPr>
        <w:t>Sol'n:</w:t>
      </w:r>
      <w:r>
        <w:tab/>
      </w:r>
      <w:r w:rsidR="003846F8">
        <w:tab/>
        <w:t>For two turns, we have five independent variables:</w:t>
      </w:r>
    </w:p>
    <w:p w:rsidR="00A001BA" w:rsidRDefault="00EA5CA5" w:rsidP="00A001BA">
      <w:pPr>
        <w:pStyle w:val="ctnoteeqn"/>
        <w:numPr>
          <w:ilvl w:val="0"/>
          <w:numId w:val="1"/>
        </w:numPr>
        <w:ind w:left="2520"/>
      </w:pPr>
      <w:r>
        <w:t xml:space="preserve">1st </w:t>
      </w:r>
      <w:r w:rsidR="00A001BA">
        <w:t>public die number</w:t>
      </w:r>
    </w:p>
    <w:p w:rsidR="00A001BA" w:rsidRDefault="00EA5CA5" w:rsidP="00A001BA">
      <w:pPr>
        <w:pStyle w:val="ctnoteeqn"/>
        <w:numPr>
          <w:ilvl w:val="0"/>
          <w:numId w:val="1"/>
        </w:numPr>
        <w:spacing w:before="0"/>
        <w:ind w:left="2520"/>
      </w:pPr>
      <w:r>
        <w:t xml:space="preserve">1st </w:t>
      </w:r>
      <w:r w:rsidR="00A001BA">
        <w:t>private die number</w:t>
      </w:r>
    </w:p>
    <w:p w:rsidR="00EA5CA5" w:rsidRDefault="00EA5CA5" w:rsidP="0000797A">
      <w:pPr>
        <w:pStyle w:val="ctnoteeqn"/>
        <w:numPr>
          <w:ilvl w:val="0"/>
          <w:numId w:val="1"/>
        </w:numPr>
        <w:spacing w:before="0"/>
        <w:ind w:left="2520"/>
      </w:pPr>
      <w:r>
        <w:t>2nd public die number</w:t>
      </w:r>
    </w:p>
    <w:p w:rsidR="00EA5CA5" w:rsidRDefault="00EA5CA5" w:rsidP="00EA5CA5">
      <w:pPr>
        <w:pStyle w:val="ctnoteeqn"/>
        <w:numPr>
          <w:ilvl w:val="0"/>
          <w:numId w:val="1"/>
        </w:numPr>
        <w:spacing w:before="0"/>
        <w:ind w:left="2520"/>
      </w:pPr>
      <w:r>
        <w:t>2nd private die number</w:t>
      </w:r>
    </w:p>
    <w:p w:rsidR="00A001BA" w:rsidRDefault="00A001BA" w:rsidP="00A001BA">
      <w:pPr>
        <w:pStyle w:val="ctnoteeqn"/>
        <w:numPr>
          <w:ilvl w:val="0"/>
          <w:numId w:val="1"/>
        </w:numPr>
        <w:spacing w:before="0"/>
        <w:ind w:left="2520"/>
      </w:pPr>
      <w:r>
        <w:t>player color</w:t>
      </w:r>
    </w:p>
    <w:p w:rsidR="00A001BA" w:rsidRDefault="00A001BA" w:rsidP="00A001BA">
      <w:pPr>
        <w:pStyle w:val="ctnotebody"/>
      </w:pPr>
      <w:r>
        <w:t>These characteristics are independent.  The value of each of them is not influenced by the values of the other two.</w:t>
      </w:r>
    </w:p>
    <w:p w:rsidR="00B04DF3" w:rsidRPr="006A1231" w:rsidRDefault="006A1231" w:rsidP="00B04DF3">
      <w:pPr>
        <w:pStyle w:val="ctnotebody"/>
      </w:pPr>
      <w:r>
        <w:t>We have 6</w:t>
      </w:r>
      <w:r>
        <w:rPr>
          <w:rFonts w:ascii="Times New Roman" w:hAnsi="Times New Roman"/>
          <w:position w:val="6"/>
          <w:sz w:val="20"/>
        </w:rPr>
        <w:t>5</w:t>
      </w:r>
      <w:r>
        <w:t xml:space="preserve"> equally likely outcomes, each with probability 1/6</w:t>
      </w:r>
      <w:r>
        <w:rPr>
          <w:rFonts w:ascii="Times New Roman" w:hAnsi="Times New Roman"/>
          <w:position w:val="6"/>
          <w:sz w:val="20"/>
        </w:rPr>
        <w:t>5</w:t>
      </w:r>
      <w:r>
        <w:t>.  When we introduce the hit and miss results, we may reduce a 5-dimensional diagram to the outcomes shown in Fig. 5 below.</w:t>
      </w:r>
    </w:p>
    <w:p w:rsidR="00B04DF3" w:rsidRDefault="00A5178D" w:rsidP="004723D9">
      <w:pPr>
        <w:pStyle w:val="ctnotebody"/>
        <w:ind w:left="900"/>
      </w:pPr>
      <w:r>
        <w:rPr>
          <w:noProof/>
        </w:rPr>
        <w:drawing>
          <wp:inline distT="0" distB="0" distL="0" distR="0">
            <wp:extent cx="5552440" cy="6649720"/>
            <wp:effectExtent l="0" t="0" r="10160" b="508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664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D9" w:rsidRDefault="004723D9" w:rsidP="004723D9">
      <w:pPr>
        <w:pStyle w:val="ctnoteeqn"/>
        <w:ind w:left="990"/>
      </w:pPr>
      <w:r>
        <w:t xml:space="preserve">Fig. 5.  Probability of 1st public die = 2, 1st private die, 2nd public die = 3, 2nd private die, player color, and </w:t>
      </w:r>
      <w:r w:rsidR="0093079D">
        <w:t xml:space="preserve">hit or </w:t>
      </w:r>
      <w:r>
        <w:t>miss in spy game.</w:t>
      </w:r>
    </w:p>
    <w:p w:rsidR="00A5178D" w:rsidRDefault="00A5178D">
      <w:pPr>
        <w:spacing w:line="240" w:lineRule="auto"/>
        <w:jc w:val="left"/>
      </w:pPr>
      <w:r>
        <w:br w:type="page"/>
      </w:r>
    </w:p>
    <w:p w:rsidR="00B04DF3" w:rsidRDefault="00304D5D" w:rsidP="00B04DF3">
      <w:pPr>
        <w:pStyle w:val="ctnotebody"/>
      </w:pPr>
      <w:r>
        <w:t>Our calculations:</w:t>
      </w:r>
    </w:p>
    <w:p w:rsidR="00304D5D" w:rsidRPr="003B0CA5" w:rsidRDefault="00304D5D" w:rsidP="00304D5D">
      <w:pPr>
        <w:pStyle w:val="ctnoteeqn"/>
        <w:ind w:left="360"/>
      </w:pPr>
      <w:r w:rsidRPr="003B0CA5">
        <w:rPr>
          <w:position w:val="-44"/>
        </w:rPr>
        <w:object w:dxaOrig="894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7.2pt;height:51.2pt" o:ole="">
            <v:imagedata r:id="rId8" o:title=""/>
          </v:shape>
          <o:OLEObject Type="Embed" ProgID="Equation.DSMT4" ShapeID="_x0000_i1026" DrawAspect="Content" ObjectID="_1484374168" r:id="rId9"/>
        </w:object>
      </w:r>
      <w:r>
        <w:t xml:space="preserve"> </w:t>
      </w:r>
    </w:p>
    <w:p w:rsidR="00B04DF3" w:rsidRDefault="00304D5D" w:rsidP="00B04DF3">
      <w:pPr>
        <w:pStyle w:val="ctnotebody"/>
      </w:pPr>
      <w:r>
        <w:t>For the numerator, we count the dots in the Miss, Miss column for color Blue.</w:t>
      </w:r>
    </w:p>
    <w:p w:rsidR="00B04DF3" w:rsidRDefault="00E419BF" w:rsidP="00E419BF">
      <w:pPr>
        <w:pStyle w:val="ctnoteeqn"/>
        <w:tabs>
          <w:tab w:val="left" w:pos="270"/>
        </w:tabs>
      </w:pPr>
      <w:r w:rsidRPr="00E419BF">
        <w:rPr>
          <w:position w:val="-46"/>
        </w:rPr>
        <w:object w:dxaOrig="4660" w:dyaOrig="1040">
          <v:shape id="_x0000_i1027" type="#_x0000_t75" style="width:232.8pt;height:52pt" o:ole="">
            <v:imagedata r:id="rId10" o:title=""/>
          </v:shape>
          <o:OLEObject Type="Embed" ProgID="Equation.DSMT4" ShapeID="_x0000_i1027" DrawAspect="Content" ObjectID="_1484374169" r:id="rId11"/>
        </w:object>
      </w:r>
    </w:p>
    <w:p w:rsidR="00E419BF" w:rsidRDefault="00E419BF" w:rsidP="00E419BF">
      <w:pPr>
        <w:pStyle w:val="ctnotebody"/>
      </w:pPr>
      <w:r>
        <w:t>For the denominator, we count the dots in the Miss, Miss column for all colors.</w:t>
      </w:r>
    </w:p>
    <w:p w:rsidR="00E419BF" w:rsidRDefault="00235DFC" w:rsidP="00E419BF">
      <w:pPr>
        <w:pStyle w:val="ctnoteeqn"/>
        <w:tabs>
          <w:tab w:val="left" w:pos="270"/>
        </w:tabs>
      </w:pPr>
      <w:r w:rsidRPr="00E419BF">
        <w:rPr>
          <w:position w:val="-46"/>
        </w:rPr>
        <w:object w:dxaOrig="6980" w:dyaOrig="1040">
          <v:shape id="_x0000_i1028" type="#_x0000_t75" style="width:348.8pt;height:52pt" o:ole="">
            <v:imagedata r:id="rId12" o:title=""/>
          </v:shape>
          <o:OLEObject Type="Embed" ProgID="Equation.DSMT4" ShapeID="_x0000_i1028" DrawAspect="Content" ObjectID="_1484374170" r:id="rId13"/>
        </w:object>
      </w:r>
    </w:p>
    <w:p w:rsidR="00B04DF3" w:rsidRDefault="00235DFC" w:rsidP="00B04DF3">
      <w:pPr>
        <w:pStyle w:val="ctnotebody"/>
      </w:pPr>
      <w:r>
        <w:t>Taking the ratio, we have</w:t>
      </w:r>
    </w:p>
    <w:p w:rsidR="00235DFC" w:rsidRPr="003B0CA5" w:rsidRDefault="00235DFC" w:rsidP="00235DFC">
      <w:pPr>
        <w:pStyle w:val="ctnoteeqn"/>
      </w:pPr>
      <w:r w:rsidRPr="00235DFC">
        <w:rPr>
          <w:position w:val="-24"/>
        </w:rPr>
        <w:object w:dxaOrig="6000" w:dyaOrig="660">
          <v:shape id="_x0000_i1029" type="#_x0000_t75" style="width:300pt;height:32.8pt" o:ole="">
            <v:imagedata r:id="rId14" o:title=""/>
          </v:shape>
          <o:OLEObject Type="Embed" ProgID="Equation.DSMT4" ShapeID="_x0000_i1029" DrawAspect="Content" ObjectID="_1484374171" r:id="rId15"/>
        </w:object>
      </w:r>
      <w:r>
        <w:t>.</w:t>
      </w:r>
    </w:p>
    <w:p w:rsidR="00213C13" w:rsidRDefault="00691E26" w:rsidP="00213C13">
      <w:pPr>
        <w:pStyle w:val="ctnotebody"/>
      </w:pPr>
      <w:r>
        <w:t>The probability that the player is Blue is slightly less than 1/6 after the first two turns, though only slightly.</w:t>
      </w:r>
    </w:p>
    <w:p w:rsidR="00213C13" w:rsidRDefault="00213C13" w:rsidP="00213C13">
      <w:pPr>
        <w:pStyle w:val="ctnoteeqn"/>
      </w:pPr>
    </w:p>
    <w:p w:rsidR="00213C13" w:rsidRDefault="00691E26" w:rsidP="00213C13">
      <w:pPr>
        <w:pStyle w:val="ctnotebody"/>
      </w:pPr>
      <w:r>
        <w:t>If we repeated the calculation for Purple, we would find</w:t>
      </w:r>
    </w:p>
    <w:p w:rsidR="00691E26" w:rsidRPr="003B0CA5" w:rsidRDefault="00691E26" w:rsidP="00691E26">
      <w:pPr>
        <w:pStyle w:val="ctnoteeqn"/>
      </w:pPr>
      <w:r w:rsidRPr="00235DFC">
        <w:rPr>
          <w:position w:val="-24"/>
        </w:rPr>
        <w:object w:dxaOrig="6180" w:dyaOrig="660">
          <v:shape id="_x0000_i1030" type="#_x0000_t75" style="width:308.8pt;height:32.8pt" o:ole="">
            <v:imagedata r:id="rId16" o:title=""/>
          </v:shape>
          <o:OLEObject Type="Embed" ProgID="Equation.DSMT4" ShapeID="_x0000_i1030" DrawAspect="Content" ObjectID="_1484374172" r:id="rId17"/>
        </w:object>
      </w:r>
      <w:r>
        <w:t>.</w:t>
      </w:r>
    </w:p>
    <w:p w:rsidR="00213C13" w:rsidRDefault="00691E26" w:rsidP="00213C13">
      <w:pPr>
        <w:pStyle w:val="ctnotebody"/>
      </w:pPr>
      <w:r>
        <w:t>This probability is just slightly less than 1/4.</w:t>
      </w:r>
    </w:p>
    <w:p w:rsidR="00F301BC" w:rsidRDefault="00F301BC">
      <w:pPr>
        <w:pStyle w:val="Heading5"/>
      </w:pPr>
    </w:p>
    <w:sectPr w:rsidR="00F301BC" w:rsidSect="00DF33A4">
      <w:headerReference w:type="default" r:id="rId18"/>
      <w:footerReference w:type="default" r:id="rId19"/>
      <w:pgSz w:w="12240" w:h="15840"/>
      <w:pgMar w:top="960" w:right="1080" w:bottom="960" w:left="1440" w:header="960" w:footer="960" w:gutter="0"/>
      <w:pgNumType w:start="1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2F" w:rsidRDefault="005B1F2F">
      <w:pPr>
        <w:spacing w:line="240" w:lineRule="auto"/>
      </w:pPr>
      <w:r>
        <w:separator/>
      </w:r>
    </w:p>
  </w:endnote>
  <w:endnote w:type="continuationSeparator" w:id="0">
    <w:p w:rsidR="005B1F2F" w:rsidRDefault="005B1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E1000AEF" w:usb1="5000A1FF" w:usb2="00000000" w:usb3="00000000" w:csb0="000001B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2F" w:rsidRDefault="005B1F2F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2F" w:rsidRDefault="005B1F2F">
      <w:pPr>
        <w:spacing w:line="240" w:lineRule="auto"/>
      </w:pPr>
      <w:r>
        <w:separator/>
      </w:r>
    </w:p>
  </w:footnote>
  <w:footnote w:type="continuationSeparator" w:id="0">
    <w:p w:rsidR="005B1F2F" w:rsidRDefault="005B1F2F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2880"/>
      <w:gridCol w:w="3715"/>
      <w:gridCol w:w="2880"/>
    </w:tblGrid>
    <w:tr w:rsidR="005B1F2F">
      <w:trPr>
        <w:jc w:val="center"/>
      </w:trPr>
      <w:tc>
        <w:tcPr>
          <w:tcW w:w="2880" w:type="dxa"/>
        </w:tcPr>
        <w:p w:rsidR="005B1F2F" w:rsidRDefault="005B1F2F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</w:tcPr>
        <w:p w:rsidR="005B1F2F" w:rsidRDefault="005B1F2F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:rsidR="005B1F2F" w:rsidRDefault="005B1F2F">
          <w:pPr>
            <w:pStyle w:val="Heading1"/>
            <w:keepNext/>
            <w:spacing w:line="360" w:lineRule="exact"/>
            <w:rPr>
              <w:sz w:val="24"/>
            </w:rPr>
          </w:pPr>
          <w:r>
            <w:t>Probability</w:t>
          </w:r>
        </w:p>
      </w:tc>
    </w:tr>
    <w:tr w:rsidR="005B1F2F">
      <w:trPr>
        <w:jc w:val="center"/>
      </w:trPr>
      <w:tc>
        <w:tcPr>
          <w:tcW w:w="2880" w:type="dxa"/>
        </w:tcPr>
        <w:p w:rsidR="005B1F2F" w:rsidRDefault="005B1F2F" w:rsidP="00EA311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715" w:type="dxa"/>
        </w:tcPr>
        <w:p w:rsidR="005B1F2F" w:rsidRDefault="005B1F2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:rsidR="005B1F2F" w:rsidRDefault="005B1F2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Conditional Probability</w:t>
          </w:r>
        </w:p>
      </w:tc>
    </w:tr>
    <w:tr w:rsidR="005B1F2F">
      <w:trPr>
        <w:jc w:val="center"/>
      </w:trPr>
      <w:tc>
        <w:tcPr>
          <w:tcW w:w="2880" w:type="dxa"/>
        </w:tcPr>
        <w:p w:rsidR="005B1F2F" w:rsidRDefault="005B1F2F">
          <w:pPr>
            <w:pStyle w:val="Heading3"/>
            <w:keepNext/>
            <w:ind w:left="0"/>
          </w:pPr>
        </w:p>
      </w:tc>
      <w:tc>
        <w:tcPr>
          <w:tcW w:w="3715" w:type="dxa"/>
        </w:tcPr>
        <w:p w:rsidR="005B1F2F" w:rsidRDefault="005B1F2F">
          <w:pPr>
            <w:pStyle w:val="Heading3"/>
            <w:keepNext/>
            <w:ind w:left="0"/>
          </w:pPr>
        </w:p>
      </w:tc>
      <w:tc>
        <w:tcPr>
          <w:tcW w:w="2880" w:type="dxa"/>
        </w:tcPr>
        <w:p w:rsidR="005B1F2F" w:rsidRDefault="005B1F2F" w:rsidP="00FB0D1D">
          <w:pPr>
            <w:pStyle w:val="Heading3"/>
            <w:keepNext/>
            <w:ind w:left="0"/>
          </w:pPr>
          <w:r>
            <w:t>Discrete random variables</w:t>
          </w:r>
        </w:p>
      </w:tc>
    </w:tr>
    <w:tr w:rsidR="005B1F2F">
      <w:trPr>
        <w:jc w:val="center"/>
      </w:trPr>
      <w:tc>
        <w:tcPr>
          <w:tcW w:w="2880" w:type="dxa"/>
        </w:tcPr>
        <w:p w:rsidR="005B1F2F" w:rsidRDefault="005B1F2F">
          <w:pPr>
            <w:pStyle w:val="Heading4"/>
            <w:keepNext/>
            <w:jc w:val="right"/>
          </w:pPr>
        </w:p>
      </w:tc>
      <w:tc>
        <w:tcPr>
          <w:tcW w:w="3715" w:type="dxa"/>
        </w:tcPr>
        <w:p w:rsidR="005B1F2F" w:rsidRDefault="005B1F2F">
          <w:pPr>
            <w:pStyle w:val="Heading4"/>
            <w:keepNext/>
            <w:jc w:val="right"/>
          </w:pPr>
        </w:p>
      </w:tc>
      <w:tc>
        <w:tcPr>
          <w:tcW w:w="2880" w:type="dxa"/>
        </w:tcPr>
        <w:p w:rsidR="005B1F2F" w:rsidRDefault="005B1F2F">
          <w:pPr>
            <w:pStyle w:val="Heading4"/>
            <w:keepNext/>
            <w:jc w:val="right"/>
          </w:pPr>
          <w:r>
            <w:t>Spy game</w:t>
          </w:r>
        </w:p>
      </w:tc>
    </w:tr>
    <w:tr w:rsidR="005B1F2F">
      <w:trPr>
        <w:jc w:val="center"/>
      </w:trPr>
      <w:tc>
        <w:tcPr>
          <w:tcW w:w="2880" w:type="dxa"/>
        </w:tcPr>
        <w:p w:rsidR="005B1F2F" w:rsidRDefault="005B1F2F">
          <w:pPr>
            <w:pStyle w:val="Heading5"/>
            <w:jc w:val="right"/>
          </w:pPr>
        </w:p>
      </w:tc>
      <w:tc>
        <w:tcPr>
          <w:tcW w:w="3715" w:type="dxa"/>
        </w:tcPr>
        <w:p w:rsidR="005B1F2F" w:rsidRDefault="005B1F2F">
          <w:pPr>
            <w:pStyle w:val="Heading5"/>
            <w:jc w:val="right"/>
          </w:pPr>
        </w:p>
      </w:tc>
      <w:tc>
        <w:tcPr>
          <w:tcW w:w="2880" w:type="dxa"/>
        </w:tcPr>
        <w:p w:rsidR="005B1F2F" w:rsidRDefault="005F5B4C" w:rsidP="00D23786">
          <w:pPr>
            <w:pStyle w:val="Heading5"/>
            <w:jc w:val="right"/>
          </w:pPr>
          <w:r>
            <w:t xml:space="preserve">Ex </w:t>
          </w:r>
          <w:r w:rsidR="00D23786">
            <w:t>3</w:t>
          </w:r>
          <w:r w:rsidR="005B1F2F">
            <w:t xml:space="preserve"> (cont.)</w:t>
          </w:r>
        </w:p>
      </w:tc>
    </w:tr>
  </w:tbl>
  <w:p w:rsidR="005B1F2F" w:rsidRDefault="001B3C57">
    <w:pPr>
      <w:spacing w:line="180" w:lineRule="exact"/>
      <w:ind w:left="-1800" w:right="-1800"/>
    </w:pPr>
    <w:r>
      <w:pict>
        <v:rect id="_x0000_i1031" style="width:576.5pt;height:1pt" o:hrpct="942" o:hralign="center" o:hrstd="t" o:hrnoshade="t" o:hr="t" fillcolor="black" stroked="f"/>
      </w:pict>
    </w:r>
  </w:p>
  <w:p w:rsidR="005B1F2F" w:rsidRDefault="005B1F2F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26CB"/>
    <w:multiLevelType w:val="hybridMultilevel"/>
    <w:tmpl w:val="071AD7A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/>
  <w:footnotePr>
    <w:footnote w:id="-1"/>
    <w:footnote w:id="0"/>
  </w:footnotePr>
  <w:endnotePr>
    <w:endnote w:id="-1"/>
    <w:endnote w:id="0"/>
  </w:endnotePr>
  <w:compat/>
  <w:rsids>
    <w:rsidRoot w:val="003030AB"/>
    <w:rsid w:val="0000797A"/>
    <w:rsid w:val="00022EC4"/>
    <w:rsid w:val="0003497C"/>
    <w:rsid w:val="00053311"/>
    <w:rsid w:val="00062641"/>
    <w:rsid w:val="00066854"/>
    <w:rsid w:val="0006793C"/>
    <w:rsid w:val="000966A8"/>
    <w:rsid w:val="00096EDD"/>
    <w:rsid w:val="000A20AD"/>
    <w:rsid w:val="000C1546"/>
    <w:rsid w:val="000E2838"/>
    <w:rsid w:val="000F1878"/>
    <w:rsid w:val="00100C70"/>
    <w:rsid w:val="00125A6B"/>
    <w:rsid w:val="001269EA"/>
    <w:rsid w:val="0013713D"/>
    <w:rsid w:val="00137A2A"/>
    <w:rsid w:val="001B3C57"/>
    <w:rsid w:val="001C205E"/>
    <w:rsid w:val="001F756A"/>
    <w:rsid w:val="00211D82"/>
    <w:rsid w:val="002138A2"/>
    <w:rsid w:val="00213C13"/>
    <w:rsid w:val="00225C6B"/>
    <w:rsid w:val="00235DFC"/>
    <w:rsid w:val="00246DAB"/>
    <w:rsid w:val="002A1A03"/>
    <w:rsid w:val="002A306F"/>
    <w:rsid w:val="002E04DC"/>
    <w:rsid w:val="002F42C5"/>
    <w:rsid w:val="003030AB"/>
    <w:rsid w:val="00304D5D"/>
    <w:rsid w:val="00310F46"/>
    <w:rsid w:val="00326BFF"/>
    <w:rsid w:val="0034702A"/>
    <w:rsid w:val="003604AD"/>
    <w:rsid w:val="0036063B"/>
    <w:rsid w:val="003846F8"/>
    <w:rsid w:val="003B0CA5"/>
    <w:rsid w:val="003D01DD"/>
    <w:rsid w:val="00412CC1"/>
    <w:rsid w:val="00421D8B"/>
    <w:rsid w:val="00422C82"/>
    <w:rsid w:val="00462167"/>
    <w:rsid w:val="004723D9"/>
    <w:rsid w:val="00490708"/>
    <w:rsid w:val="00491A45"/>
    <w:rsid w:val="004A1180"/>
    <w:rsid w:val="004A25F9"/>
    <w:rsid w:val="00512BFD"/>
    <w:rsid w:val="00525A3C"/>
    <w:rsid w:val="00532242"/>
    <w:rsid w:val="00560AA1"/>
    <w:rsid w:val="00564F48"/>
    <w:rsid w:val="005A164E"/>
    <w:rsid w:val="005A5CC8"/>
    <w:rsid w:val="005B1392"/>
    <w:rsid w:val="005B1F2F"/>
    <w:rsid w:val="005B65A2"/>
    <w:rsid w:val="005D5FA5"/>
    <w:rsid w:val="005E57F8"/>
    <w:rsid w:val="005F5B4C"/>
    <w:rsid w:val="00626C7F"/>
    <w:rsid w:val="00651966"/>
    <w:rsid w:val="00657E17"/>
    <w:rsid w:val="00671F81"/>
    <w:rsid w:val="00683F3C"/>
    <w:rsid w:val="00691E26"/>
    <w:rsid w:val="006A1231"/>
    <w:rsid w:val="006E0CAB"/>
    <w:rsid w:val="00705CF4"/>
    <w:rsid w:val="00722A0A"/>
    <w:rsid w:val="007562AD"/>
    <w:rsid w:val="00764CFA"/>
    <w:rsid w:val="007665EC"/>
    <w:rsid w:val="007804D1"/>
    <w:rsid w:val="00794659"/>
    <w:rsid w:val="007E149D"/>
    <w:rsid w:val="007F5715"/>
    <w:rsid w:val="00816E56"/>
    <w:rsid w:val="008448A7"/>
    <w:rsid w:val="008546A5"/>
    <w:rsid w:val="00863B2D"/>
    <w:rsid w:val="00877E8B"/>
    <w:rsid w:val="00877FC7"/>
    <w:rsid w:val="00890DCC"/>
    <w:rsid w:val="008A2B7B"/>
    <w:rsid w:val="008D6AF1"/>
    <w:rsid w:val="008F620C"/>
    <w:rsid w:val="00900349"/>
    <w:rsid w:val="00904C01"/>
    <w:rsid w:val="009146D8"/>
    <w:rsid w:val="0093079D"/>
    <w:rsid w:val="009702EF"/>
    <w:rsid w:val="009D1516"/>
    <w:rsid w:val="00A001BA"/>
    <w:rsid w:val="00A35E4B"/>
    <w:rsid w:val="00A5178D"/>
    <w:rsid w:val="00A90860"/>
    <w:rsid w:val="00AC52F1"/>
    <w:rsid w:val="00B0215E"/>
    <w:rsid w:val="00B04DF3"/>
    <w:rsid w:val="00B10535"/>
    <w:rsid w:val="00B227DF"/>
    <w:rsid w:val="00B44906"/>
    <w:rsid w:val="00B95166"/>
    <w:rsid w:val="00C34C05"/>
    <w:rsid w:val="00C538D1"/>
    <w:rsid w:val="00CC2A01"/>
    <w:rsid w:val="00D20D43"/>
    <w:rsid w:val="00D23786"/>
    <w:rsid w:val="00D26F19"/>
    <w:rsid w:val="00D56083"/>
    <w:rsid w:val="00DB4E4F"/>
    <w:rsid w:val="00DF33A4"/>
    <w:rsid w:val="00E0618B"/>
    <w:rsid w:val="00E419BF"/>
    <w:rsid w:val="00E4711A"/>
    <w:rsid w:val="00E876FC"/>
    <w:rsid w:val="00EA3110"/>
    <w:rsid w:val="00EA5CA5"/>
    <w:rsid w:val="00F301BC"/>
    <w:rsid w:val="00F55087"/>
    <w:rsid w:val="00F718BE"/>
    <w:rsid w:val="00FB0D1D"/>
    <w:rsid w:val="00FC251C"/>
    <w:rsid w:val="00FD689F"/>
  </w:rsids>
  <m:mathPr>
    <m:mathFont m:val="Monac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2EF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9702EF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9702EF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9702EF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9702EF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9702EF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9702EF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3">
    <w:name w:val="toc 3"/>
    <w:basedOn w:val="Normal"/>
    <w:next w:val="Normal"/>
    <w:rsid w:val="009702EF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9702EF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9702EF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9702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02EF"/>
  </w:style>
  <w:style w:type="paragraph" w:styleId="Header">
    <w:name w:val="header"/>
    <w:basedOn w:val="Normal"/>
    <w:rsid w:val="009702EF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9702EF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9702EF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9702EF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9702EF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9702EF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9702EF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9702EF"/>
    <w:pPr>
      <w:spacing w:before="120"/>
      <w:ind w:left="2160"/>
    </w:pPr>
  </w:style>
  <w:style w:type="paragraph" w:customStyle="1" w:styleId="ctbody">
    <w:name w:val="ctbody"/>
    <w:basedOn w:val="Normal"/>
    <w:rsid w:val="009702EF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9702EF"/>
  </w:style>
  <w:style w:type="paragraph" w:customStyle="1" w:styleId="HW1">
    <w:name w:val="HW1"/>
    <w:basedOn w:val="Normal"/>
    <w:rsid w:val="009702EF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9702EF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9702EF"/>
    <w:pPr>
      <w:spacing w:before="120"/>
      <w:ind w:left="3240"/>
    </w:pPr>
  </w:style>
  <w:style w:type="paragraph" w:customStyle="1" w:styleId="cteqn">
    <w:name w:val="cteqn"/>
    <w:basedOn w:val="Normal"/>
    <w:rsid w:val="009702EF"/>
    <w:pPr>
      <w:ind w:left="1620"/>
    </w:pPr>
  </w:style>
  <w:style w:type="paragraph" w:customStyle="1" w:styleId="cta">
    <w:name w:val="cta"/>
    <w:basedOn w:val="Normal"/>
    <w:rsid w:val="009702EF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9702EF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9702EF"/>
    <w:pPr>
      <w:ind w:left="2160"/>
    </w:pPr>
  </w:style>
  <w:style w:type="paragraph" w:customStyle="1" w:styleId="ctnoteeqn">
    <w:name w:val="ctnoteeqn"/>
    <w:basedOn w:val="Normal"/>
    <w:rsid w:val="009702EF"/>
    <w:pPr>
      <w:spacing w:before="120"/>
      <w:ind w:left="2700"/>
    </w:pPr>
  </w:style>
  <w:style w:type="paragraph" w:customStyle="1" w:styleId="ctsubnotebodyeqn">
    <w:name w:val="ctsubnotebodyeqn"/>
    <w:basedOn w:val="Normal"/>
    <w:rsid w:val="009702EF"/>
    <w:pPr>
      <w:ind w:left="3780"/>
    </w:pPr>
  </w:style>
  <w:style w:type="character" w:styleId="Hyperlink">
    <w:name w:val="Hyperlink"/>
    <w:rsid w:val="009702EF"/>
    <w:rPr>
      <w:color w:val="6A3400"/>
      <w:u w:val="single"/>
    </w:rPr>
  </w:style>
  <w:style w:type="character" w:styleId="FollowedHyperlink">
    <w:name w:val="FollowedHyperlink"/>
    <w:rsid w:val="009702EF"/>
    <w:rPr>
      <w:color w:val="800080"/>
      <w:u w:val="single"/>
    </w:rPr>
  </w:style>
  <w:style w:type="paragraph" w:customStyle="1" w:styleId="Matlab">
    <w:name w:val="Matlab"/>
    <w:basedOn w:val="Normal"/>
    <w:rsid w:val="009702EF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9702EF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46" Type="http://schemas.microsoft.com/office/2007/relationships/stylesWithEffects" Target="stylesWithEffects.xml"/><Relationship Id="rId10" Type="http://schemas.openxmlformats.org/officeDocument/2006/relationships/image" Target="media/image3.emf"/><Relationship Id="rId11" Type="http://schemas.openxmlformats.org/officeDocument/2006/relationships/oleObject" Target="embeddings/oleObject2.bin"/><Relationship Id="rId12" Type="http://schemas.openxmlformats.org/officeDocument/2006/relationships/image" Target="media/image4.emf"/><Relationship Id="rId13" Type="http://schemas.openxmlformats.org/officeDocument/2006/relationships/oleObject" Target="embeddings/oleObject3.bin"/><Relationship Id="rId14" Type="http://schemas.openxmlformats.org/officeDocument/2006/relationships/image" Target="media/image5.emf"/><Relationship Id="rId15" Type="http://schemas.openxmlformats.org/officeDocument/2006/relationships/oleObject" Target="embeddings/oleObject4.bin"/><Relationship Id="rId16" Type="http://schemas.openxmlformats.org/officeDocument/2006/relationships/image" Target="media/image6.emf"/><Relationship Id="rId17" Type="http://schemas.openxmlformats.org/officeDocument/2006/relationships/oleObject" Target="embeddings/oleObject5.bin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224</Words>
  <Characters>1278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1569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113</cp:revision>
  <cp:lastPrinted>2017-02-06T04:01:00Z</cp:lastPrinted>
  <dcterms:created xsi:type="dcterms:W3CDTF">2016-01-19T02:38:00Z</dcterms:created>
  <dcterms:modified xsi:type="dcterms:W3CDTF">2019-02-01T16:23:00Z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