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Override PartName="/word/stylesWithEffects.xml" ContentType="application/vnd.ms-word.stylesWithEffects+xml"/>
  <Default Extension="xml" ContentType="application/xml"/>
  <Default Extension="bin" ContentType="application/vnd.openxmlformats-officedocument.oleObject"/>
  <Default Extension="png" ContentType="image/pn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00"/>
      </w:tblPr>
      <w:tblGrid>
        <w:gridCol w:w="2880"/>
        <w:gridCol w:w="3708"/>
        <w:gridCol w:w="2880"/>
      </w:tblGrid>
      <w:tr w:rsidR="00F301BC">
        <w:trPr>
          <w:trHeight w:val="336"/>
          <w:jc w:val="center"/>
        </w:trPr>
        <w:tc>
          <w:tcPr>
            <w:tcW w:w="2880" w:type="dxa"/>
            <w:vAlign w:val="center"/>
          </w:tcPr>
          <w:p w:rsidR="00F301BC" w:rsidRPr="00C2777D" w:rsidRDefault="005A164E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 w:rsidRPr="00764CFA">
              <w:rPr>
                <w:sz w:val="12"/>
                <w:bdr w:val="single" w:sz="18" w:space="0" w:color="808080" w:themeColor="background1" w:themeShade="80"/>
                <w:shd w:val="clear" w:color="auto" w:fill="E6E6E6"/>
              </w:rPr>
              <w:t xml:space="preserve"> </w:t>
            </w:r>
            <w:r w:rsidRPr="005A164E">
              <w:rPr>
                <w:b w:val="0"/>
                <w:bdr w:val="single" w:sz="18" w:space="0" w:color="808080" w:themeColor="background1" w:themeShade="80"/>
                <w:shd w:val="clear" w:color="auto" w:fill="E6E6E6"/>
              </w:rPr>
              <w:t>CO</w:t>
            </w:r>
            <w:r w:rsidRPr="005A164E">
              <w:rPr>
                <w:b w:val="0"/>
                <w:color w:val="008000"/>
                <w:bdr w:val="single" w:sz="18" w:space="0" w:color="808080" w:themeColor="background1" w:themeShade="80"/>
                <w:shd w:val="clear" w:color="auto" w:fill="E6E6E6"/>
              </w:rPr>
              <w:t>NC</w:t>
            </w:r>
            <w:r w:rsidRPr="005A164E">
              <w:rPr>
                <w:b w:val="0"/>
                <w:bdr w:val="single" w:sz="18" w:space="0" w:color="808080" w:themeColor="background1" w:themeShade="80"/>
                <w:shd w:val="clear" w:color="auto" w:fill="E6E6E6"/>
              </w:rPr>
              <w:t>EPT</w:t>
            </w:r>
            <w:r w:rsidRPr="005A164E">
              <w:rPr>
                <w:b w:val="0"/>
                <w:color w:val="FF0000"/>
                <w:bdr w:val="single" w:sz="18" w:space="0" w:color="808080" w:themeColor="background1" w:themeShade="80"/>
                <w:shd w:val="clear" w:color="auto" w:fill="E6E6E6"/>
              </w:rPr>
              <w:t>U</w:t>
            </w:r>
            <w:r w:rsidRPr="005A164E">
              <w:rPr>
                <w:b w:val="0"/>
                <w:bdr w:val="single" w:sz="18" w:space="0" w:color="808080" w:themeColor="background1" w:themeShade="80"/>
                <w:shd w:val="clear" w:color="auto" w:fill="E6E6E6"/>
              </w:rPr>
              <w:t>AL</w:t>
            </w:r>
            <w:r w:rsidRPr="00764CFA">
              <w:rPr>
                <w:bdr w:val="single" w:sz="18" w:space="0" w:color="808080" w:themeColor="background1" w:themeShade="80"/>
                <w:shd w:val="clear" w:color="auto" w:fill="E6E6E6"/>
              </w:rPr>
              <w:t xml:space="preserve"> </w:t>
            </w:r>
            <w:r w:rsidRPr="005A164E">
              <w:rPr>
                <w:rFonts w:ascii="Bank Gothic" w:hAnsi="Bank Gothic"/>
                <w:color w:val="7F7F7F" w:themeColor="text1" w:themeTint="80"/>
                <w:bdr w:val="single" w:sz="18" w:space="0" w:color="808080" w:themeColor="background1" w:themeShade="80"/>
                <w:shd w:val="clear" w:color="auto" w:fill="E6E6E6"/>
              </w:rPr>
              <w:t>TOOLS</w:t>
            </w:r>
          </w:p>
        </w:tc>
        <w:tc>
          <w:tcPr>
            <w:tcW w:w="3708" w:type="dxa"/>
          </w:tcPr>
          <w:p w:rsidR="00F301BC" w:rsidRDefault="00F301BC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:rsidR="00F301BC" w:rsidRPr="00C2777D" w:rsidRDefault="00C808EF" w:rsidP="00F301BC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rPr>
                <w:bCs/>
              </w:rPr>
              <w:t>Probability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:rsidR="00F301BC" w:rsidRDefault="008932B2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proofErr w:type="spellStart"/>
            <w:r>
              <w:t>Chebyshev's</w:t>
            </w:r>
            <w:proofErr w:type="spellEnd"/>
            <w:r>
              <w:t xml:space="preserve"> Theorem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:rsidR="00F301BC" w:rsidRDefault="00F301BC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:rsidR="00F301BC" w:rsidRDefault="008932B2">
            <w:pPr>
              <w:pStyle w:val="Heading3"/>
              <w:keepNext/>
              <w:spacing w:line="200" w:lineRule="atLeast"/>
              <w:ind w:left="0"/>
            </w:pPr>
            <w:r>
              <w:t>Proof</w:t>
            </w: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:rsidR="00F301BC" w:rsidRDefault="00F301BC">
            <w:pPr>
              <w:pStyle w:val="Heading4"/>
              <w:keepNext/>
              <w:jc w:val="right"/>
            </w:pPr>
          </w:p>
        </w:tc>
      </w:tr>
      <w:tr w:rsidR="00F301BC">
        <w:trPr>
          <w:jc w:val="center"/>
        </w:trPr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:rsidR="00F301BC" w:rsidRDefault="00F301BC">
            <w:pPr>
              <w:pStyle w:val="Heading5"/>
              <w:jc w:val="right"/>
            </w:pPr>
          </w:p>
        </w:tc>
      </w:tr>
    </w:tbl>
    <w:p w:rsidR="00F301BC" w:rsidRDefault="00BD0786">
      <w:pPr>
        <w:spacing w:line="180" w:lineRule="exact"/>
        <w:ind w:left="-1800" w:right="-1800"/>
      </w:pPr>
      <w:r>
        <w:pict>
          <v:rect id="_x0000_i1025" style="width:576.5pt;height:1pt" o:hrpct="942" o:hralign="center" o:hrstd="t" o:hrnoshade="t" o:hr="t" fillcolor="black" stroked="f"/>
        </w:pict>
      </w:r>
    </w:p>
    <w:p w:rsidR="00F301BC" w:rsidRDefault="00F301BC">
      <w:pPr>
        <w:pStyle w:val="Heading3"/>
        <w:spacing w:line="320" w:lineRule="exact"/>
        <w:ind w:left="0"/>
        <w:jc w:val="left"/>
      </w:pPr>
    </w:p>
    <w:p w:rsidR="00F301BC" w:rsidRPr="001A4A9D" w:rsidRDefault="00780FAC">
      <w:pPr>
        <w:pStyle w:val="ct"/>
      </w:pPr>
      <w:proofErr w:type="spellStart"/>
      <w:r>
        <w:rPr>
          <w:b/>
          <w:smallCaps/>
        </w:rPr>
        <w:t>Thm</w:t>
      </w:r>
      <w:proofErr w:type="spellEnd"/>
      <w:r w:rsidR="00F301BC">
        <w:rPr>
          <w:b/>
        </w:rPr>
        <w:t>:</w:t>
      </w:r>
      <w:r w:rsidR="00F301BC">
        <w:tab/>
      </w:r>
      <w:r w:rsidR="001A4A9D">
        <w:t xml:space="preserve">For any probability density function and any real number </w:t>
      </w:r>
      <w:r w:rsidR="001A4A9D">
        <w:rPr>
          <w:i/>
        </w:rPr>
        <w:t>k</w:t>
      </w:r>
      <w:r w:rsidR="001A4A9D">
        <w:t xml:space="preserve"> &gt; 0</w:t>
      </w:r>
    </w:p>
    <w:p w:rsidR="001A4A9D" w:rsidRPr="00EF496F" w:rsidRDefault="00506EA4" w:rsidP="001A4A9D">
      <w:pPr>
        <w:pStyle w:val="cteqn"/>
        <w:spacing w:before="60" w:after="60"/>
      </w:pPr>
      <w:r w:rsidRPr="001A4A9D">
        <w:rPr>
          <w:b/>
          <w:smallCaps/>
          <w:position w:val="-30"/>
        </w:rPr>
        <w:object w:dxaOrig="21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4.8pt;height:36pt" o:ole="">
            <v:imagedata r:id="rId6" o:title=""/>
          </v:shape>
          <o:OLEObject Type="Embed" ProgID="Equation.DSMT4" ShapeID="_x0000_i1026" DrawAspect="Content" ObjectID="_1486132037" r:id="rId7"/>
        </w:object>
      </w:r>
      <w:r w:rsidR="008F6C80">
        <w:t xml:space="preserve">  </w:t>
      </w:r>
      <w:proofErr w:type="gramStart"/>
      <w:r w:rsidR="008F6C80">
        <w:t>or</w:t>
      </w:r>
      <w:proofErr w:type="gramEnd"/>
      <w:r w:rsidR="008F6C80">
        <w:t xml:space="preserve">  </w:t>
      </w:r>
      <w:r w:rsidR="00EF496F" w:rsidRPr="001A4A9D">
        <w:rPr>
          <w:b/>
          <w:smallCaps/>
          <w:position w:val="-30"/>
        </w:rPr>
        <w:object w:dxaOrig="2100" w:dyaOrig="720">
          <v:shape id="_x0000_i1027" type="#_x0000_t75" style="width:104.8pt;height:36pt" o:ole="">
            <v:imagedata r:id="rId8" o:title=""/>
          </v:shape>
          <o:OLEObject Type="Embed" ProgID="Equation.DSMT4" ShapeID="_x0000_i1027" DrawAspect="Content" ObjectID="_1486132038" r:id="rId9"/>
        </w:object>
      </w:r>
    </w:p>
    <w:p w:rsidR="00906A3A" w:rsidRPr="00A765BF" w:rsidRDefault="00906A3A" w:rsidP="00906A3A">
      <w:pPr>
        <w:pStyle w:val="ctnote"/>
        <w:tabs>
          <w:tab w:val="clear" w:pos="1872"/>
          <w:tab w:val="left" w:pos="1956"/>
        </w:tabs>
        <w:rPr>
          <w:rFonts w:ascii="Symbol" w:hAnsi="Symbol"/>
          <w:i/>
        </w:rPr>
      </w:pPr>
      <w:r>
        <w:rPr>
          <w:b/>
          <w:smallCaps/>
        </w:rPr>
        <w:t>Note:</w:t>
      </w:r>
      <w:r>
        <w:tab/>
      </w:r>
      <w:r>
        <w:tab/>
        <w:t xml:space="preserve">This theorem </w:t>
      </w:r>
      <w:r w:rsidR="006567A0">
        <w:t xml:space="preserve">gives an upper bound on how much of the probability density can lie </w:t>
      </w:r>
      <w:r w:rsidR="00A765BF">
        <w:t>farther than</w:t>
      </w:r>
      <w:r w:rsidR="006567A0">
        <w:t xml:space="preserve"> </w:t>
      </w:r>
      <w:r w:rsidR="00A765BF">
        <w:rPr>
          <w:i/>
        </w:rPr>
        <w:t>k</w:t>
      </w:r>
      <w:r w:rsidR="00A765BF" w:rsidRPr="00A765BF">
        <w:rPr>
          <w:rFonts w:ascii="Symbol" w:hAnsi="Symbol"/>
        </w:rPr>
        <w:t></w:t>
      </w:r>
      <w:r w:rsidR="00A765BF" w:rsidRPr="00A765BF">
        <w:t xml:space="preserve"> </w:t>
      </w:r>
      <w:r w:rsidR="00A765BF">
        <w:t xml:space="preserve">from the mean value.  Thus, the probability density is constrained in how far </w:t>
      </w:r>
      <w:r w:rsidR="0001141E">
        <w:t>its tails</w:t>
      </w:r>
      <w:r w:rsidR="00A765BF">
        <w:t xml:space="preserve"> can lie from the mean value on a scale measured by standard deviations.</w:t>
      </w:r>
    </w:p>
    <w:p w:rsidR="009F1415" w:rsidRPr="009F1415" w:rsidRDefault="009F1415" w:rsidP="009F1415">
      <w:pPr>
        <w:pStyle w:val="ctnote"/>
        <w:tabs>
          <w:tab w:val="clear" w:pos="1872"/>
          <w:tab w:val="left" w:pos="1956"/>
        </w:tabs>
        <w:rPr>
          <w:rFonts w:ascii="Symbol" w:hAnsi="Symbol"/>
        </w:rPr>
      </w:pPr>
      <w:r>
        <w:rPr>
          <w:b/>
          <w:smallCaps/>
        </w:rPr>
        <w:t>Note:</w:t>
      </w:r>
      <w:r>
        <w:tab/>
      </w:r>
      <w:r>
        <w:tab/>
        <w:t xml:space="preserve">This theorem is only useful for values of </w:t>
      </w:r>
      <w:r>
        <w:rPr>
          <w:i/>
        </w:rPr>
        <w:t>k</w:t>
      </w:r>
      <w:r>
        <w:t xml:space="preserve"> &gt; 1, since probability is always less than</w:t>
      </w:r>
      <w:r w:rsidR="006F4C3F">
        <w:t xml:space="preserve"> or equal to</w:t>
      </w:r>
      <w:r>
        <w:t xml:space="preserve"> unity, and the theorem is most useful for larger values of </w:t>
      </w:r>
      <w:r>
        <w:rPr>
          <w:i/>
        </w:rPr>
        <w:t>k</w:t>
      </w:r>
      <w:r>
        <w:t>.  For example, all but one-ninth of the probability lies within three standard deviations of the mean, regardless of what the probability density function happens to be.</w:t>
      </w:r>
    </w:p>
    <w:p w:rsidR="00F301BC" w:rsidRDefault="00906A3A">
      <w:pPr>
        <w:pStyle w:val="ctnote"/>
      </w:pPr>
      <w:r>
        <w:rPr>
          <w:b/>
          <w:smallCaps/>
        </w:rPr>
        <w:t>Proof</w:t>
      </w:r>
      <w:r w:rsidR="00F301BC">
        <w:rPr>
          <w:b/>
          <w:smallCaps/>
        </w:rPr>
        <w:t>:</w:t>
      </w:r>
      <w:r w:rsidR="00F301BC">
        <w:tab/>
      </w:r>
      <w:r>
        <w:tab/>
      </w:r>
      <w:r w:rsidR="007627A8">
        <w:t>We start with the definition of standard deviation:</w:t>
      </w:r>
    </w:p>
    <w:p w:rsidR="000A25CD" w:rsidRPr="00715810" w:rsidRDefault="004C4140" w:rsidP="000A25CD">
      <w:pPr>
        <w:pStyle w:val="ctnoteeqn"/>
      </w:pPr>
      <w:r w:rsidRPr="00190C7A">
        <w:rPr>
          <w:position w:val="-20"/>
        </w:rPr>
        <w:object w:dxaOrig="2480" w:dyaOrig="600">
          <v:shape id="_x0000_i1028" type="#_x0000_t75" style="width:124pt;height:30.4pt" o:ole="">
            <v:imagedata r:id="rId10" o:title=""/>
          </v:shape>
          <o:OLEObject Type="Embed" ProgID="Equation.DSMT4" ShapeID="_x0000_i1028" DrawAspect="Content" ObjectID="_1486132039" r:id="rId11"/>
        </w:object>
      </w:r>
      <w:r w:rsidR="00715810">
        <w:t>.</w:t>
      </w:r>
    </w:p>
    <w:p w:rsidR="004262BD" w:rsidRPr="008373B2" w:rsidRDefault="008373B2" w:rsidP="004262BD">
      <w:pPr>
        <w:pStyle w:val="ctnotebody"/>
      </w:pPr>
      <w:r>
        <w:t xml:space="preserve">The figure below shows a generic probability density function, </w:t>
      </w:r>
      <w:proofErr w:type="gramStart"/>
      <w:r>
        <w:rPr>
          <w:i/>
        </w:rPr>
        <w:t>f</w:t>
      </w:r>
      <w:r>
        <w:t>(</w:t>
      </w:r>
      <w:proofErr w:type="gramEnd"/>
      <w:r>
        <w:rPr>
          <w:i/>
        </w:rPr>
        <w:t>x</w:t>
      </w:r>
      <w:r>
        <w:t>).</w:t>
      </w:r>
    </w:p>
    <w:p w:rsidR="004262BD" w:rsidRDefault="00FF6EAC" w:rsidP="004262BD">
      <w:pPr>
        <w:pStyle w:val="ctnoteeqn"/>
      </w:pPr>
      <w:r>
        <w:rPr>
          <w:noProof/>
        </w:rPr>
        <w:drawing>
          <wp:inline distT="0" distB="0" distL="0" distR="0">
            <wp:extent cx="3860800" cy="1644650"/>
            <wp:effectExtent l="0" t="0" r="0" b="635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BD3" w:rsidRDefault="00E41BD3">
      <w:pPr>
        <w:spacing w:line="240" w:lineRule="auto"/>
        <w:jc w:val="left"/>
      </w:pPr>
      <w:r>
        <w:br w:type="page"/>
      </w:r>
    </w:p>
    <w:p w:rsidR="00E41BD3" w:rsidRDefault="006B45FF" w:rsidP="00E41BD3">
      <w:pPr>
        <w:pStyle w:val="ctnotebody"/>
      </w:pPr>
      <w:r>
        <w:t xml:space="preserve">For the calculation of </w:t>
      </w:r>
      <w:r>
        <w:rPr>
          <w:rFonts w:ascii="Symbol" w:hAnsi="Symbol"/>
        </w:rPr>
        <w:t></w:t>
      </w:r>
      <w:r>
        <w:rPr>
          <w:rFonts w:ascii="Times New Roman" w:hAnsi="Times New Roman"/>
          <w:position w:val="6"/>
          <w:sz w:val="20"/>
        </w:rPr>
        <w:t>2</w:t>
      </w:r>
      <w:r>
        <w:t>, we will</w:t>
      </w:r>
      <w:r w:rsidR="00E41BD3">
        <w:t xml:space="preserve"> </w:t>
      </w:r>
      <w:r>
        <w:t xml:space="preserve">multiply </w:t>
      </w:r>
      <w:r w:rsidRPr="00E41BD3">
        <w:rPr>
          <w:position w:val="-10"/>
        </w:rPr>
        <w:object w:dxaOrig="540" w:dyaOrig="320">
          <v:shape id="_x0000_i1029" type="#_x0000_t75" style="width:27.2pt;height:16pt" o:ole="">
            <v:imagedata r:id="rId13" o:title=""/>
          </v:shape>
          <o:OLEObject Type="Embed" ProgID="Equation.DSMT4" ShapeID="_x0000_i1029" DrawAspect="Content" ObjectID="_1486132040" r:id="rId14"/>
        </w:object>
      </w:r>
      <w:r w:rsidR="00E41BD3">
        <w:t xml:space="preserve"> </w:t>
      </w:r>
      <w:r>
        <w:t>by</w:t>
      </w:r>
      <w:r w:rsidR="00AB4BF0">
        <w:t xml:space="preserve"> the quadratic function</w:t>
      </w:r>
      <w:r>
        <w:t xml:space="preserve"> </w:t>
      </w:r>
      <w:r w:rsidRPr="00E41BD3">
        <w:rPr>
          <w:position w:val="-10"/>
        </w:rPr>
        <w:object w:dxaOrig="820" w:dyaOrig="440">
          <v:shape id="_x0000_i1030" type="#_x0000_t75" style="width:40.8pt;height:22.4pt" o:ole="">
            <v:imagedata r:id="rId15" o:title=""/>
          </v:shape>
          <o:OLEObject Type="Embed" ProgID="Equation.DSMT4" ShapeID="_x0000_i1030" DrawAspect="Content" ObjectID="_1486132041" r:id="rId16"/>
        </w:object>
      </w:r>
      <w:r w:rsidR="00AB4BF0">
        <w:t>added to the graph</w:t>
      </w:r>
      <w:r w:rsidR="00E41BD3">
        <w:t xml:space="preserve"> below.</w:t>
      </w:r>
    </w:p>
    <w:p w:rsidR="00E41BD3" w:rsidRDefault="002843B4" w:rsidP="00E41BD3">
      <w:pPr>
        <w:pStyle w:val="ctnoteeqn"/>
      </w:pPr>
      <w:r>
        <w:rPr>
          <w:noProof/>
        </w:rPr>
        <w:drawing>
          <wp:inline distT="0" distB="0" distL="0" distR="0">
            <wp:extent cx="3860800" cy="1644650"/>
            <wp:effectExtent l="0" t="0" r="0" b="635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B4" w:rsidRDefault="00AB4BF0" w:rsidP="002843B4">
      <w:pPr>
        <w:pStyle w:val="ctnotebody"/>
      </w:pPr>
      <w:r>
        <w:t>The product</w:t>
      </w:r>
      <w:r w:rsidR="002843B4">
        <w:t xml:space="preserve"> </w:t>
      </w:r>
      <w:r w:rsidR="002843B4" w:rsidRPr="00E41BD3">
        <w:rPr>
          <w:position w:val="-10"/>
        </w:rPr>
        <w:object w:dxaOrig="1320" w:dyaOrig="440">
          <v:shape id="_x0000_i1031" type="#_x0000_t75" style="width:66.4pt;height:22.4pt" o:ole="">
            <v:imagedata r:id="rId18" o:title=""/>
          </v:shape>
          <o:OLEObject Type="Embed" ProgID="Equation.DSMT4" ShapeID="_x0000_i1031" DrawAspect="Content" ObjectID="_1486132042" r:id="rId19"/>
        </w:object>
      </w:r>
      <w:r w:rsidR="002843B4">
        <w:t xml:space="preserve"> </w:t>
      </w:r>
      <w:r>
        <w:t>is</w:t>
      </w:r>
      <w:r w:rsidR="002843B4">
        <w:t xml:space="preserve"> shown below</w:t>
      </w:r>
      <w:r>
        <w:t>, and the area under this curve</w:t>
      </w:r>
      <w:r w:rsidR="00734580">
        <w:t xml:space="preserve">, (i.e., the integral of </w:t>
      </w:r>
      <w:r w:rsidR="00734580" w:rsidRPr="00E41BD3">
        <w:rPr>
          <w:position w:val="-10"/>
        </w:rPr>
        <w:object w:dxaOrig="1320" w:dyaOrig="440">
          <v:shape id="_x0000_i1032" type="#_x0000_t75" style="width:66.4pt;height:22.4pt" o:ole="">
            <v:imagedata r:id="rId20" o:title=""/>
          </v:shape>
          <o:OLEObject Type="Embed" ProgID="Equation.DSMT4" ShapeID="_x0000_i1032" DrawAspect="Content" ObjectID="_1486132043" r:id="rId21"/>
        </w:object>
      </w:r>
      <w:r w:rsidR="00734580">
        <w:t>)</w:t>
      </w:r>
      <w:r>
        <w:t xml:space="preserve">, shown in brown, is the value of </w:t>
      </w:r>
      <w:r>
        <w:rPr>
          <w:rFonts w:ascii="Symbol" w:hAnsi="Symbol"/>
        </w:rPr>
        <w:t></w:t>
      </w:r>
      <w:r>
        <w:rPr>
          <w:rFonts w:ascii="Times New Roman" w:hAnsi="Times New Roman"/>
          <w:position w:val="6"/>
          <w:sz w:val="20"/>
        </w:rPr>
        <w:t>2</w:t>
      </w:r>
      <w:r w:rsidR="002843B4">
        <w:t>.</w:t>
      </w:r>
    </w:p>
    <w:p w:rsidR="002843B4" w:rsidRDefault="00607847" w:rsidP="002843B4">
      <w:pPr>
        <w:pStyle w:val="ctnoteeqn"/>
      </w:pPr>
      <w:r>
        <w:rPr>
          <w:noProof/>
        </w:rPr>
        <w:drawing>
          <wp:inline distT="0" distB="0" distL="0" distR="0">
            <wp:extent cx="3860800" cy="1644650"/>
            <wp:effectExtent l="0" t="0" r="0" b="635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CD" w:rsidRPr="00715810" w:rsidRDefault="00715810" w:rsidP="000A25CD">
      <w:pPr>
        <w:pStyle w:val="ctnotebody"/>
        <w:rPr>
          <w:rFonts w:ascii="Symbol" w:hAnsi="Symbol"/>
        </w:rPr>
      </w:pPr>
      <w:r>
        <w:t xml:space="preserve">We split the integral </w:t>
      </w:r>
      <w:r w:rsidR="004478C9">
        <w:t xml:space="preserve">for </w:t>
      </w:r>
      <w:r w:rsidR="004478C9">
        <w:rPr>
          <w:rFonts w:ascii="Symbol" w:hAnsi="Symbol"/>
        </w:rPr>
        <w:t></w:t>
      </w:r>
      <w:r w:rsidR="004478C9">
        <w:rPr>
          <w:rFonts w:ascii="Times New Roman" w:hAnsi="Times New Roman"/>
          <w:position w:val="6"/>
          <w:sz w:val="20"/>
        </w:rPr>
        <w:t>2</w:t>
      </w:r>
      <w:r w:rsidR="004478C9">
        <w:t xml:space="preserve"> </w:t>
      </w:r>
      <w:r>
        <w:t>into regions within</w:t>
      </w:r>
      <w:r w:rsidR="00FF6EAC">
        <w:t xml:space="preserve"> </w:t>
      </w:r>
      <w:r w:rsidR="00FF6EAC">
        <w:rPr>
          <w:i/>
        </w:rPr>
        <w:t>k</w:t>
      </w:r>
      <w:r w:rsidR="00FF6EAC">
        <w:rPr>
          <w:rFonts w:ascii="Symbol" w:hAnsi="Symbol"/>
        </w:rPr>
        <w:t></w:t>
      </w:r>
      <w:r w:rsidR="00FF6EAC">
        <w:t xml:space="preserve"> of the mean</w:t>
      </w:r>
      <w:r>
        <w:t xml:space="preserve"> </w:t>
      </w:r>
      <w:r w:rsidR="00FF6EAC">
        <w:t xml:space="preserve">(center region) </w:t>
      </w:r>
      <w:r>
        <w:t xml:space="preserve">and without </w:t>
      </w:r>
      <w:r>
        <w:rPr>
          <w:i/>
        </w:rPr>
        <w:t>k</w:t>
      </w:r>
      <w:r>
        <w:rPr>
          <w:rFonts w:ascii="Symbol" w:hAnsi="Symbol"/>
        </w:rPr>
        <w:t></w:t>
      </w:r>
      <w:r>
        <w:t xml:space="preserve"> of the mean</w:t>
      </w:r>
      <w:r w:rsidR="00FF6EAC">
        <w:t xml:space="preserve"> (gray regions)</w:t>
      </w:r>
      <w:r w:rsidR="00CB5480">
        <w:t xml:space="preserve"> giving us the following result</w:t>
      </w:r>
      <w:r>
        <w:t>.</w:t>
      </w:r>
    </w:p>
    <w:p w:rsidR="00715810" w:rsidRPr="00715810" w:rsidRDefault="004C4140" w:rsidP="000860B1">
      <w:pPr>
        <w:pStyle w:val="ctnoteeqn"/>
        <w:ind w:left="2160" w:right="-90"/>
      </w:pPr>
      <w:r w:rsidRPr="000860B1">
        <w:rPr>
          <w:position w:val="-24"/>
        </w:rPr>
        <w:object w:dxaOrig="7380" w:dyaOrig="640">
          <v:shape id="_x0000_i1033" type="#_x0000_t75" style="width:369.6pt;height:32pt" o:ole="">
            <v:imagedata r:id="rId23" o:title=""/>
          </v:shape>
          <o:OLEObject Type="Embed" ProgID="Equation.DSMT4" ShapeID="_x0000_i1033" DrawAspect="Content" ObjectID="_1486132044" r:id="rId24"/>
        </w:object>
      </w:r>
      <w:r w:rsidR="00715810">
        <w:t>.</w:t>
      </w:r>
    </w:p>
    <w:p w:rsidR="00CB5480" w:rsidRDefault="00CB5480">
      <w:pPr>
        <w:spacing w:line="240" w:lineRule="auto"/>
        <w:jc w:val="left"/>
      </w:pPr>
      <w:r>
        <w:br w:type="page"/>
      </w:r>
    </w:p>
    <w:p w:rsidR="009B6ED9" w:rsidRPr="00E904C2" w:rsidRDefault="00E904C2" w:rsidP="009B6ED9">
      <w:pPr>
        <w:pStyle w:val="ctnotebody"/>
        <w:rPr>
          <w:rFonts w:ascii="Symbol" w:hAnsi="Symbol"/>
          <w:i/>
        </w:rPr>
      </w:pPr>
      <w:r>
        <w:t xml:space="preserve">Since the quantities being integrated are all non-negative, if we were to delete the middle integral (i.e., the integral for values within </w:t>
      </w:r>
      <w:r>
        <w:rPr>
          <w:i/>
        </w:rPr>
        <w:t>k</w:t>
      </w:r>
      <w:r w:rsidRPr="00E904C2">
        <w:rPr>
          <w:rFonts w:ascii="Symbol" w:hAnsi="Symbol"/>
        </w:rPr>
        <w:t></w:t>
      </w:r>
      <w:r w:rsidRPr="00E904C2">
        <w:t xml:space="preserve"> </w:t>
      </w:r>
      <w:r>
        <w:t>of the mean) we would have the following result:</w:t>
      </w:r>
    </w:p>
    <w:p w:rsidR="009B6ED9" w:rsidRDefault="004C4140" w:rsidP="009B6ED9">
      <w:pPr>
        <w:pStyle w:val="ctnoteeqn"/>
      </w:pPr>
      <w:r w:rsidRPr="008A37D4">
        <w:rPr>
          <w:position w:val="-24"/>
        </w:rPr>
        <w:object w:dxaOrig="5020" w:dyaOrig="640">
          <v:shape id="_x0000_i1034" type="#_x0000_t75" style="width:250.4pt;height:32pt" o:ole="">
            <v:imagedata r:id="rId25" o:title=""/>
          </v:shape>
          <o:OLEObject Type="Embed" ProgID="Equation.DSMT4" ShapeID="_x0000_i1034" DrawAspect="Content" ObjectID="_1486132045" r:id="rId26"/>
        </w:object>
      </w:r>
      <w:r w:rsidR="009B6ED9">
        <w:t>.</w:t>
      </w:r>
    </w:p>
    <w:p w:rsidR="004C4140" w:rsidRPr="00A51115" w:rsidRDefault="00A4201C" w:rsidP="004C4140">
      <w:pPr>
        <w:pStyle w:val="ctnotebody"/>
      </w:pPr>
      <w:r>
        <w:t>In other words, the areas under the side portions are less than the entire area.  We obtain an even smaller area on the sides if we replace (</w:t>
      </w:r>
      <w:r>
        <w:rPr>
          <w:i/>
        </w:rPr>
        <w:t>x</w:t>
      </w:r>
      <w:r>
        <w:t xml:space="preserve"> – </w:t>
      </w:r>
      <w:r>
        <w:rPr>
          <w:rFonts w:ascii="Symbol" w:hAnsi="Symbol"/>
        </w:rPr>
        <w:t></w:t>
      </w:r>
      <w:r>
        <w:t>)</w:t>
      </w:r>
      <w:r>
        <w:rPr>
          <w:rFonts w:ascii="Times New Roman" w:hAnsi="Times New Roman"/>
          <w:position w:val="6"/>
          <w:sz w:val="20"/>
        </w:rPr>
        <w:t>2</w:t>
      </w:r>
      <w:r>
        <w:t xml:space="preserve"> with a smaller multiplier, namely </w:t>
      </w:r>
      <w:r>
        <w:rPr>
          <w:i/>
        </w:rPr>
        <w:t>k</w:t>
      </w:r>
      <w:r>
        <w:rPr>
          <w:rFonts w:ascii="Times New Roman" w:hAnsi="Times New Roman"/>
          <w:position w:val="6"/>
          <w:sz w:val="20"/>
        </w:rPr>
        <w:t>2</w:t>
      </w:r>
      <w:r>
        <w:rPr>
          <w:rFonts w:ascii="Symbol" w:hAnsi="Symbol"/>
        </w:rPr>
        <w:t></w:t>
      </w:r>
      <w:r>
        <w:rPr>
          <w:rFonts w:ascii="Times New Roman" w:hAnsi="Times New Roman"/>
          <w:position w:val="6"/>
          <w:sz w:val="20"/>
        </w:rPr>
        <w:t>2</w:t>
      </w:r>
      <w:r>
        <w:t>.  That is</w:t>
      </w:r>
      <w:r w:rsidR="004C4140">
        <w:t>, for</w:t>
      </w:r>
      <w:r>
        <w:t xml:space="preserve"> the integrals in the above equation we have</w:t>
      </w:r>
      <w:r w:rsidR="004C4140">
        <w:t xml:space="preserve"> </w:t>
      </w:r>
      <w:r w:rsidR="00623DC1" w:rsidRPr="00A51115">
        <w:rPr>
          <w:position w:val="-10"/>
        </w:rPr>
        <w:object w:dxaOrig="1580" w:dyaOrig="440">
          <v:shape id="_x0000_i1035" type="#_x0000_t75" style="width:79.2pt;height:22.4pt" o:ole="">
            <v:imagedata r:id="rId27" o:title=""/>
          </v:shape>
          <o:OLEObject Type="Embed" ProgID="Equation.DSMT4" ShapeID="_x0000_i1035" DrawAspect="Content" ObjectID="_1486132046" r:id="rId28"/>
        </w:object>
      </w:r>
      <w:r w:rsidR="004C4140">
        <w:t>, so we can write the following inequality:</w:t>
      </w:r>
    </w:p>
    <w:p w:rsidR="004C4140" w:rsidRPr="009B6578" w:rsidRDefault="004C4140" w:rsidP="004C4140">
      <w:pPr>
        <w:pStyle w:val="ctnoteeqn"/>
      </w:pPr>
      <w:r w:rsidRPr="00554F1D">
        <w:rPr>
          <w:b/>
          <w:smallCaps/>
          <w:position w:val="-20"/>
        </w:rPr>
        <w:object w:dxaOrig="4120" w:dyaOrig="600">
          <v:shape id="_x0000_i1036" type="#_x0000_t75" style="width:206.4pt;height:30.4pt" o:ole="">
            <v:imagedata r:id="rId29" o:title=""/>
          </v:shape>
          <o:OLEObject Type="Embed" ProgID="Equation.DSMT4" ShapeID="_x0000_i1036" DrawAspect="Content" ObjectID="_1486132047" r:id="rId30"/>
        </w:object>
      </w:r>
      <w:r w:rsidR="009B6578">
        <w:t>.</w:t>
      </w:r>
    </w:p>
    <w:p w:rsidR="00A4201C" w:rsidRDefault="00A4201C" w:rsidP="00A4201C">
      <w:pPr>
        <w:pStyle w:val="ctnotebody"/>
      </w:pPr>
      <w:r>
        <w:t>The figure below shows the right-hand side</w:t>
      </w:r>
      <w:r w:rsidR="00596C27">
        <w:t xml:space="preserve"> of this equation</w:t>
      </w:r>
      <w:r>
        <w:t xml:space="preserve"> as red areas</w:t>
      </w:r>
      <w:r w:rsidR="00941138">
        <w:t xml:space="preserve"> that are clearly smaller than the original side areas</w:t>
      </w:r>
      <w:r>
        <w:t>.</w:t>
      </w:r>
    </w:p>
    <w:p w:rsidR="00A4201C" w:rsidRDefault="00E96513" w:rsidP="00A4201C">
      <w:pPr>
        <w:pStyle w:val="ctnoteeqn"/>
      </w:pPr>
      <w:r>
        <w:rPr>
          <w:noProof/>
        </w:rPr>
        <w:drawing>
          <wp:inline distT="0" distB="0" distL="0" distR="0">
            <wp:extent cx="3860800" cy="1644650"/>
            <wp:effectExtent l="0" t="0" r="0" b="635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CD" w:rsidRPr="005F2741" w:rsidRDefault="00E96513" w:rsidP="000A25CD">
      <w:pPr>
        <w:pStyle w:val="ctnotebody"/>
      </w:pPr>
      <w:r>
        <w:t>At this point,</w:t>
      </w:r>
      <w:r w:rsidR="005F2741">
        <w:t xml:space="preserve"> we factor out the </w:t>
      </w:r>
      <w:r w:rsidR="005F2741">
        <w:rPr>
          <w:i/>
        </w:rPr>
        <w:t>k</w:t>
      </w:r>
      <w:r w:rsidR="005F2741">
        <w:rPr>
          <w:rFonts w:ascii="Times New Roman" w:hAnsi="Times New Roman"/>
          <w:position w:val="6"/>
          <w:sz w:val="20"/>
        </w:rPr>
        <w:t>2</w:t>
      </w:r>
      <w:r w:rsidR="005F2741">
        <w:rPr>
          <w:rFonts w:ascii="Symbol" w:hAnsi="Symbol"/>
        </w:rPr>
        <w:t></w:t>
      </w:r>
      <w:r w:rsidR="005F2741">
        <w:rPr>
          <w:rFonts w:ascii="Times New Roman" w:hAnsi="Times New Roman"/>
          <w:position w:val="6"/>
          <w:sz w:val="20"/>
        </w:rPr>
        <w:t>2</w:t>
      </w:r>
      <w:r>
        <w:t xml:space="preserve"> from the integrals to obtain</w:t>
      </w:r>
    </w:p>
    <w:p w:rsidR="005F2741" w:rsidRPr="005F2741" w:rsidRDefault="004E0C39" w:rsidP="004E0C39">
      <w:pPr>
        <w:pStyle w:val="ctnoteeqn"/>
      </w:pPr>
      <w:r w:rsidRPr="004E0C39">
        <w:rPr>
          <w:b/>
          <w:smallCaps/>
          <w:position w:val="-28"/>
        </w:rPr>
        <w:object w:dxaOrig="3900" w:dyaOrig="700">
          <v:shape id="_x0000_i1037" type="#_x0000_t75" style="width:195.2pt;height:35.2pt" o:ole="">
            <v:imagedata r:id="rId32" o:title=""/>
          </v:shape>
          <o:OLEObject Type="Embed" ProgID="Equation.DSMT4" ShapeID="_x0000_i1037" DrawAspect="Content" ObjectID="_1486132048" r:id="rId33"/>
        </w:object>
      </w:r>
    </w:p>
    <w:p w:rsidR="005F2741" w:rsidRPr="005F2741" w:rsidRDefault="005F2741" w:rsidP="005F2741">
      <w:pPr>
        <w:pStyle w:val="ctnotebody"/>
        <w:rPr>
          <w:rFonts w:ascii="Symbol" w:hAnsi="Symbol"/>
        </w:rPr>
      </w:pPr>
      <w:proofErr w:type="gramStart"/>
      <w:r>
        <w:t>or</w:t>
      </w:r>
      <w:proofErr w:type="gramEnd"/>
      <w:r>
        <w:t xml:space="preserve">, if we divide both sides by </w:t>
      </w:r>
      <w:r>
        <w:rPr>
          <w:rFonts w:ascii="Symbol" w:hAnsi="Symbol"/>
        </w:rPr>
        <w:t></w:t>
      </w:r>
      <w:r>
        <w:t>,</w:t>
      </w:r>
    </w:p>
    <w:p w:rsidR="005F2741" w:rsidRPr="001C1E67" w:rsidRDefault="005F2741" w:rsidP="005F2741">
      <w:pPr>
        <w:pStyle w:val="ctnoteeqn"/>
      </w:pPr>
      <w:r w:rsidRPr="004E0C39">
        <w:rPr>
          <w:b/>
          <w:smallCaps/>
          <w:position w:val="-28"/>
        </w:rPr>
        <w:object w:dxaOrig="3440" w:dyaOrig="700">
          <v:shape id="_x0000_i1038" type="#_x0000_t75" style="width:172.8pt;height:35.2pt" o:ole="">
            <v:imagedata r:id="rId34" o:title=""/>
          </v:shape>
          <o:OLEObject Type="Embed" ProgID="Equation.DSMT4" ShapeID="_x0000_i1038" DrawAspect="Content" ObjectID="_1486132049" r:id="rId35"/>
        </w:object>
      </w:r>
      <w:r w:rsidR="001C1E67">
        <w:t>.</w:t>
      </w:r>
    </w:p>
    <w:p w:rsidR="004E0C39" w:rsidRDefault="004E0C39" w:rsidP="004E0C39">
      <w:pPr>
        <w:pStyle w:val="ctnotebody"/>
      </w:pPr>
      <w:r>
        <w:t>The value in parentheses is now a probability, and we have</w:t>
      </w:r>
    </w:p>
    <w:p w:rsidR="001803F0" w:rsidRPr="001C1E67" w:rsidRDefault="001C1E67" w:rsidP="004E0C39">
      <w:pPr>
        <w:pStyle w:val="ctnoteeqn"/>
      </w:pPr>
      <w:r w:rsidRPr="004E0C39">
        <w:rPr>
          <w:b/>
          <w:smallCaps/>
          <w:position w:val="-16"/>
        </w:rPr>
        <w:object w:dxaOrig="2120" w:dyaOrig="500">
          <v:shape id="_x0000_i1039" type="#_x0000_t75" style="width:106.4pt;height:25.6pt" o:ole="">
            <v:imagedata r:id="rId36" o:title=""/>
          </v:shape>
          <o:OLEObject Type="Embed" ProgID="Equation.DSMT4" ShapeID="_x0000_i1039" DrawAspect="Content" ObjectID="_1486132050" r:id="rId37"/>
        </w:object>
      </w:r>
    </w:p>
    <w:p w:rsidR="001C1E67" w:rsidRPr="00CE6322" w:rsidRDefault="00CE6322" w:rsidP="001C1E67">
      <w:pPr>
        <w:pStyle w:val="ctnotebody"/>
      </w:pPr>
      <w:proofErr w:type="gramStart"/>
      <w:r>
        <w:t>or</w:t>
      </w:r>
      <w:proofErr w:type="gramEnd"/>
      <w:r>
        <w:t xml:space="preserve">, if we divide both sides by </w:t>
      </w:r>
      <w:r>
        <w:rPr>
          <w:i/>
        </w:rPr>
        <w:t>k</w:t>
      </w:r>
      <w:r>
        <w:rPr>
          <w:rFonts w:ascii="Times New Roman" w:hAnsi="Times New Roman"/>
          <w:position w:val="6"/>
          <w:sz w:val="20"/>
        </w:rPr>
        <w:t>2</w:t>
      </w:r>
      <w:r>
        <w:t>,</w:t>
      </w:r>
    </w:p>
    <w:p w:rsidR="001C1E67" w:rsidRPr="00CE6322" w:rsidRDefault="00CE6322" w:rsidP="001C1E67">
      <w:pPr>
        <w:pStyle w:val="ctnoteeqn"/>
      </w:pPr>
      <w:r w:rsidRPr="00CE6322">
        <w:rPr>
          <w:b/>
          <w:smallCaps/>
          <w:position w:val="-30"/>
        </w:rPr>
        <w:object w:dxaOrig="2100" w:dyaOrig="720">
          <v:shape id="_x0000_i1040" type="#_x0000_t75" style="width:105.6pt;height:36.8pt" o:ole="">
            <v:imagedata r:id="rId38" o:title=""/>
          </v:shape>
          <o:OLEObject Type="Embed" ProgID="Equation.DSMT4" ShapeID="_x0000_i1040" DrawAspect="Content" ObjectID="_1486132051" r:id="rId39"/>
        </w:object>
      </w:r>
      <w:r>
        <w:t>.</w:t>
      </w:r>
    </w:p>
    <w:p w:rsidR="008F6C80" w:rsidRDefault="008F6C80" w:rsidP="008F6C80">
      <w:pPr>
        <w:pStyle w:val="ctnotebody"/>
      </w:pPr>
      <w:r>
        <w:t>This result is equivalent to the theorem statement</w:t>
      </w:r>
      <w:r w:rsidR="00B97137">
        <w:t>, and our proof is finished</w:t>
      </w:r>
      <w:r>
        <w:t>.</w:t>
      </w:r>
    </w:p>
    <w:p w:rsidR="000A25CD" w:rsidRDefault="000A25CD" w:rsidP="000A25CD">
      <w:pPr>
        <w:pStyle w:val="ctnotebody"/>
      </w:pPr>
    </w:p>
    <w:p w:rsidR="00D30398" w:rsidRPr="00D30398" w:rsidRDefault="00D30398" w:rsidP="000A25CD">
      <w:pPr>
        <w:pStyle w:val="ctnotebody"/>
        <w:rPr>
          <w:rFonts w:ascii="Symbol" w:hAnsi="Symbol"/>
        </w:rPr>
      </w:pPr>
      <w:r>
        <w:t xml:space="preserve">One might wonder the bound is achievable, and the answer for </w:t>
      </w:r>
      <w:r>
        <w:rPr>
          <w:i/>
        </w:rPr>
        <w:t>k</w:t>
      </w:r>
      <w:r>
        <w:t xml:space="preserve"> &gt; 1 is yes.  The distribution shown below achieves the bound by putting </w:t>
      </w:r>
      <w:r w:rsidR="00155FB7">
        <w:t>as much of</w:t>
      </w:r>
      <w:r>
        <w:t xml:space="preserve"> the probability </w:t>
      </w:r>
      <w:r w:rsidR="00155FB7">
        <w:t>as possible (i.e., 1/2</w:t>
      </w:r>
      <w:r w:rsidR="00155FB7">
        <w:rPr>
          <w:i/>
        </w:rPr>
        <w:t>k</w:t>
      </w:r>
      <w:r w:rsidR="00155FB7">
        <w:rPr>
          <w:rFonts w:ascii="Times New Roman" w:hAnsi="Times New Roman"/>
          <w:position w:val="6"/>
          <w:sz w:val="20"/>
        </w:rPr>
        <w:t>2</w:t>
      </w:r>
      <w:r w:rsidR="00155FB7">
        <w:t xml:space="preserve">) </w:t>
      </w:r>
      <w:r>
        <w:t xml:space="preserve">at points masses located at distance </w:t>
      </w:r>
      <w:r>
        <w:rPr>
          <w:i/>
        </w:rPr>
        <w:t>k</w:t>
      </w:r>
      <w:r w:rsidRPr="00D30398">
        <w:rPr>
          <w:rFonts w:ascii="Symbol" w:hAnsi="Symbol"/>
        </w:rPr>
        <w:t></w:t>
      </w:r>
      <w:r>
        <w:rPr>
          <w:rFonts w:ascii="Symbol" w:hAnsi="Symbol"/>
        </w:rPr>
        <w:t></w:t>
      </w:r>
      <w:r>
        <w:t xml:space="preserve"> from </w:t>
      </w:r>
      <w:r>
        <w:rPr>
          <w:rFonts w:ascii="Symbol" w:hAnsi="Symbol"/>
        </w:rPr>
        <w:t></w:t>
      </w:r>
      <w:r>
        <w:t>.</w:t>
      </w:r>
      <w:r w:rsidR="00DA1AA5">
        <w:t xml:space="preserve">  Th</w:t>
      </w:r>
      <w:r w:rsidR="00155FB7">
        <w:t>us</w:t>
      </w:r>
      <w:r w:rsidR="00DA1AA5">
        <w:t>, we have a discrete distribution:</w:t>
      </w:r>
    </w:p>
    <w:p w:rsidR="00A25D55" w:rsidRDefault="00C302F8" w:rsidP="00A25D55">
      <w:pPr>
        <w:pStyle w:val="ctnoteeqn"/>
      </w:pPr>
      <w:r w:rsidRPr="00A01CD8">
        <w:rPr>
          <w:b/>
          <w:smallCaps/>
          <w:position w:val="-104"/>
        </w:rPr>
        <w:object w:dxaOrig="3720" w:dyaOrig="2200">
          <v:shape id="_x0000_i1041" type="#_x0000_t75" style="width:186.4pt;height:111.2pt" o:ole="">
            <v:imagedata r:id="rId40" o:title=""/>
          </v:shape>
          <o:OLEObject Type="Embed" ProgID="Equation.DSMT4" ShapeID="_x0000_i1041" DrawAspect="Content" ObjectID="_1486132052" r:id="rId41"/>
        </w:object>
      </w:r>
      <w:r w:rsidR="00A41FF2">
        <w:t>.</w:t>
      </w:r>
    </w:p>
    <w:p w:rsidR="000A25CD" w:rsidRDefault="00A24AD4" w:rsidP="000A25CD">
      <w:pPr>
        <w:pStyle w:val="ctnoteeqn"/>
      </w:pPr>
      <w:r>
        <w:rPr>
          <w:noProof/>
        </w:rPr>
        <w:drawing>
          <wp:inline distT="0" distB="0" distL="0" distR="0">
            <wp:extent cx="3860800" cy="1644650"/>
            <wp:effectExtent l="0" t="0" r="0" b="6350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CD" w:rsidRPr="00155FB7" w:rsidRDefault="00155FB7" w:rsidP="000A25CD">
      <w:pPr>
        <w:pStyle w:val="ctnotebody"/>
      </w:pPr>
      <w:r>
        <w:t xml:space="preserve">We verify that the calculated variance is indeed </w:t>
      </w:r>
      <w:r>
        <w:rPr>
          <w:rFonts w:ascii="Symbol" w:hAnsi="Symbol"/>
        </w:rPr>
        <w:t></w:t>
      </w:r>
      <w:r>
        <w:rPr>
          <w:rFonts w:ascii="Times New Roman" w:hAnsi="Times New Roman"/>
          <w:position w:val="6"/>
          <w:sz w:val="20"/>
        </w:rPr>
        <w:t>2</w:t>
      </w:r>
      <w:r>
        <w:t>:</w:t>
      </w:r>
    </w:p>
    <w:p w:rsidR="007307AF" w:rsidRDefault="00C302F8" w:rsidP="00155FB7">
      <w:pPr>
        <w:pStyle w:val="ctnoteeqn"/>
        <w:ind w:right="-360"/>
      </w:pPr>
      <w:r w:rsidRPr="007307AF">
        <w:rPr>
          <w:position w:val="-42"/>
        </w:rPr>
        <w:object w:dxaOrig="6060" w:dyaOrig="840">
          <v:shape id="_x0000_i1042" type="#_x0000_t75" style="width:302.4pt;height:42.4pt" o:ole="">
            <v:imagedata r:id="rId43" o:title=""/>
          </v:shape>
          <o:OLEObject Type="Embed" ProgID="Equation.DSMT4" ShapeID="_x0000_i1042" DrawAspect="Content" ObjectID="_1486132053" r:id="rId44"/>
        </w:object>
      </w:r>
      <w:r w:rsidR="00055361">
        <w:t>,</w:t>
      </w:r>
    </w:p>
    <w:p w:rsidR="000A25CD" w:rsidRPr="00155FB7" w:rsidRDefault="00155FB7" w:rsidP="000A25CD">
      <w:pPr>
        <w:pStyle w:val="ctnotebody"/>
      </w:pPr>
      <w:proofErr w:type="gramStart"/>
      <w:r>
        <w:t>which</w:t>
      </w:r>
      <w:proofErr w:type="gramEnd"/>
      <w:r>
        <w:t xml:space="preserve"> simplifies to </w:t>
      </w:r>
      <w:r>
        <w:rPr>
          <w:rFonts w:ascii="Symbol" w:hAnsi="Symbol"/>
        </w:rPr>
        <w:t></w:t>
      </w:r>
      <w:r>
        <w:rPr>
          <w:rFonts w:ascii="Times New Roman" w:hAnsi="Times New Roman"/>
          <w:position w:val="6"/>
          <w:sz w:val="20"/>
        </w:rPr>
        <w:t>2</w:t>
      </w:r>
      <w:r>
        <w:t xml:space="preserve"> = </w:t>
      </w:r>
      <w:r>
        <w:rPr>
          <w:rFonts w:ascii="Symbol" w:hAnsi="Symbol"/>
        </w:rPr>
        <w:t></w:t>
      </w:r>
      <w:r>
        <w:rPr>
          <w:rFonts w:ascii="Times New Roman" w:hAnsi="Times New Roman"/>
          <w:position w:val="6"/>
          <w:sz w:val="20"/>
        </w:rPr>
        <w:t>2</w:t>
      </w:r>
      <w:r w:rsidR="0093739D">
        <w:t xml:space="preserve">, as </w:t>
      </w:r>
      <w:r w:rsidR="0089312F">
        <w:t>required</w:t>
      </w:r>
      <w:r w:rsidR="0093739D">
        <w:t>.</w:t>
      </w:r>
      <w:bookmarkStart w:id="0" w:name="_GoBack"/>
      <w:bookmarkEnd w:id="0"/>
    </w:p>
    <w:p w:rsidR="00F301BC" w:rsidRDefault="00F301BC">
      <w:pPr>
        <w:pStyle w:val="ct"/>
        <w:tabs>
          <w:tab w:val="clear" w:pos="1080"/>
          <w:tab w:val="left" w:pos="1800"/>
        </w:tabs>
        <w:spacing w:line="240" w:lineRule="atLeast"/>
        <w:ind w:left="1800" w:hanging="720"/>
        <w:jc w:val="left"/>
      </w:pPr>
      <w:r>
        <w:rPr>
          <w:b/>
          <w:smallCaps/>
        </w:rPr>
        <w:t>Ref</w:t>
      </w:r>
      <w:r>
        <w:rPr>
          <w:b/>
        </w:rPr>
        <w:t>:</w:t>
      </w:r>
      <w:r>
        <w:tab/>
        <w:t xml:space="preserve">Ronald E. Walpole, Raymond H. Myers, Sharon L. Myers, and Keying Ye, </w:t>
      </w:r>
      <w:r>
        <w:rPr>
          <w:i/>
        </w:rPr>
        <w:t xml:space="preserve">Probability and Statistics for Engineers and Scientists, </w:t>
      </w:r>
      <w:r>
        <w:t>8th Ed., Upper Saddle River, NJ: Prentice Hall, 2007.</w:t>
      </w:r>
    </w:p>
    <w:p w:rsidR="00F301BC" w:rsidRPr="00941AFB" w:rsidRDefault="00F301BC" w:rsidP="00941AFB">
      <w:pPr>
        <w:pStyle w:val="Heading5"/>
        <w:spacing w:line="40" w:lineRule="exact"/>
        <w:ind w:left="806" w:hanging="806"/>
        <w:rPr>
          <w:sz w:val="4"/>
        </w:rPr>
      </w:pPr>
    </w:p>
    <w:sectPr w:rsidR="00F301BC" w:rsidRPr="00941AFB" w:rsidSect="00D43EED">
      <w:headerReference w:type="default" r:id="rId45"/>
      <w:footerReference w:type="default" r:id="rId46"/>
      <w:pgSz w:w="12240" w:h="15840"/>
      <w:pgMar w:top="960" w:right="1260" w:bottom="960" w:left="1440" w:header="960" w:footer="960" w:gutter="0"/>
      <w:pgNumType w:start="1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8EF" w:rsidRDefault="00C808EF">
      <w:pPr>
        <w:spacing w:line="240" w:lineRule="auto"/>
      </w:pPr>
      <w:r>
        <w:separator/>
      </w:r>
    </w:p>
  </w:endnote>
  <w:endnote w:type="continuationSeparator" w:id="0">
    <w:p w:rsidR="00C808EF" w:rsidRDefault="00C808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E1000AEF" w:usb1="5000A1FF" w:usb2="00000000" w:usb3="00000000" w:csb0="000001BF" w:csb1="00000000"/>
  </w:font>
  <w:font w:name="Bank Gothic">
    <w:panose1 w:val="00000400000000000000"/>
    <w:charset w:val="00"/>
    <w:family w:val="auto"/>
    <w:pitch w:val="variable"/>
    <w:sig w:usb0="80000027" w:usb1="00000000" w:usb2="00000000" w:usb3="00000000" w:csb0="00000193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8EF" w:rsidRDefault="00C808EF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8EF" w:rsidRDefault="00C808EF">
      <w:pPr>
        <w:spacing w:line="240" w:lineRule="auto"/>
      </w:pPr>
      <w:r>
        <w:separator/>
      </w:r>
    </w:p>
  </w:footnote>
  <w:footnote w:type="continuationSeparator" w:id="0">
    <w:p w:rsidR="00C808EF" w:rsidRDefault="00C808EF">
      <w:pPr>
        <w:spacing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00"/>
    </w:tblPr>
    <w:tblGrid>
      <w:gridCol w:w="2880"/>
      <w:gridCol w:w="3715"/>
      <w:gridCol w:w="2880"/>
    </w:tblGrid>
    <w:tr w:rsidR="00C808EF">
      <w:trPr>
        <w:jc w:val="center"/>
      </w:trPr>
      <w:tc>
        <w:tcPr>
          <w:tcW w:w="2880" w:type="dxa"/>
        </w:tcPr>
        <w:p w:rsidR="00C808EF" w:rsidRDefault="00C808EF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</w:tcPr>
        <w:p w:rsidR="00C808EF" w:rsidRDefault="00C808EF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:rsidR="00C808EF" w:rsidRDefault="00C808EF">
          <w:pPr>
            <w:pStyle w:val="Heading1"/>
            <w:keepNext/>
            <w:spacing w:line="360" w:lineRule="exact"/>
            <w:rPr>
              <w:sz w:val="24"/>
            </w:rPr>
          </w:pPr>
          <w:r>
            <w:t>Statistics</w:t>
          </w:r>
        </w:p>
      </w:tc>
    </w:tr>
    <w:tr w:rsidR="00C808EF">
      <w:trPr>
        <w:jc w:val="center"/>
      </w:trPr>
      <w:tc>
        <w:tcPr>
          <w:tcW w:w="2880" w:type="dxa"/>
        </w:tcPr>
        <w:p w:rsidR="00C808EF" w:rsidRDefault="00C808EF" w:rsidP="00EA3110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715" w:type="dxa"/>
        </w:tcPr>
        <w:p w:rsidR="00C808EF" w:rsidRDefault="00C808E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:rsidR="00C808EF" w:rsidRDefault="00C808EF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 xml:space="preserve">Student's or </w:t>
          </w:r>
          <w:r>
            <w:rPr>
              <w:smallCaps w:val="0"/>
            </w:rPr>
            <w:t>t</w:t>
          </w:r>
          <w:r>
            <w:t>-distribution</w:t>
          </w:r>
        </w:p>
      </w:tc>
    </w:tr>
    <w:tr w:rsidR="00C808EF">
      <w:trPr>
        <w:jc w:val="center"/>
      </w:trPr>
      <w:tc>
        <w:tcPr>
          <w:tcW w:w="2880" w:type="dxa"/>
        </w:tcPr>
        <w:p w:rsidR="00C808EF" w:rsidRDefault="00C808EF">
          <w:pPr>
            <w:pStyle w:val="Heading3"/>
            <w:keepNext/>
            <w:ind w:left="0"/>
          </w:pPr>
        </w:p>
      </w:tc>
      <w:tc>
        <w:tcPr>
          <w:tcW w:w="3715" w:type="dxa"/>
        </w:tcPr>
        <w:p w:rsidR="00C808EF" w:rsidRDefault="00C808EF">
          <w:pPr>
            <w:pStyle w:val="Heading3"/>
            <w:keepNext/>
            <w:ind w:left="0"/>
          </w:pPr>
        </w:p>
      </w:tc>
      <w:tc>
        <w:tcPr>
          <w:tcW w:w="2880" w:type="dxa"/>
        </w:tcPr>
        <w:p w:rsidR="00C808EF" w:rsidRDefault="00C808EF">
          <w:pPr>
            <w:pStyle w:val="Heading3"/>
            <w:keepNext/>
            <w:ind w:left="0"/>
          </w:pPr>
          <w:r>
            <w:t>Derivation (cont.)</w:t>
          </w:r>
        </w:p>
      </w:tc>
    </w:tr>
    <w:tr w:rsidR="00C808EF">
      <w:trPr>
        <w:jc w:val="center"/>
      </w:trPr>
      <w:tc>
        <w:tcPr>
          <w:tcW w:w="2880" w:type="dxa"/>
        </w:tcPr>
        <w:p w:rsidR="00C808EF" w:rsidRDefault="00C808EF">
          <w:pPr>
            <w:pStyle w:val="Heading4"/>
            <w:keepNext/>
            <w:jc w:val="right"/>
          </w:pPr>
        </w:p>
      </w:tc>
      <w:tc>
        <w:tcPr>
          <w:tcW w:w="3715" w:type="dxa"/>
        </w:tcPr>
        <w:p w:rsidR="00C808EF" w:rsidRDefault="00C808EF">
          <w:pPr>
            <w:pStyle w:val="Heading4"/>
            <w:keepNext/>
            <w:jc w:val="right"/>
          </w:pPr>
        </w:p>
      </w:tc>
      <w:tc>
        <w:tcPr>
          <w:tcW w:w="2880" w:type="dxa"/>
        </w:tcPr>
        <w:p w:rsidR="00C808EF" w:rsidRDefault="00C808EF">
          <w:pPr>
            <w:pStyle w:val="Heading4"/>
            <w:keepNext/>
            <w:jc w:val="right"/>
          </w:pPr>
        </w:p>
      </w:tc>
    </w:tr>
    <w:tr w:rsidR="00C808EF">
      <w:trPr>
        <w:jc w:val="center"/>
      </w:trPr>
      <w:tc>
        <w:tcPr>
          <w:tcW w:w="2880" w:type="dxa"/>
        </w:tcPr>
        <w:p w:rsidR="00C808EF" w:rsidRDefault="00C808EF">
          <w:pPr>
            <w:pStyle w:val="Heading5"/>
            <w:jc w:val="right"/>
          </w:pPr>
        </w:p>
      </w:tc>
      <w:tc>
        <w:tcPr>
          <w:tcW w:w="3715" w:type="dxa"/>
        </w:tcPr>
        <w:p w:rsidR="00C808EF" w:rsidRDefault="00C808EF">
          <w:pPr>
            <w:pStyle w:val="Heading5"/>
            <w:jc w:val="right"/>
          </w:pPr>
        </w:p>
      </w:tc>
      <w:tc>
        <w:tcPr>
          <w:tcW w:w="2880" w:type="dxa"/>
        </w:tcPr>
        <w:p w:rsidR="00C808EF" w:rsidRDefault="00C808EF">
          <w:pPr>
            <w:pStyle w:val="Heading5"/>
            <w:jc w:val="right"/>
          </w:pPr>
        </w:p>
      </w:tc>
    </w:tr>
  </w:tbl>
  <w:p w:rsidR="00C808EF" w:rsidRDefault="00C808EF">
    <w:pPr>
      <w:spacing w:line="180" w:lineRule="exact"/>
      <w:ind w:left="-1800" w:right="-1800"/>
    </w:pPr>
    <w:r>
      <w:pict>
        <v:rect id="_x0000_i1043" style="width:576.5pt;height:1pt" o:hrpct="942" o:hralign="center" o:hrstd="t" o:hrnoshade="t" o:hr="t" fillcolor="black" stroked="f"/>
      </w:pict>
    </w:r>
  </w:p>
  <w:p w:rsidR="00C808EF" w:rsidRDefault="00C808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/>
  <w:footnotePr>
    <w:footnote w:id="-1"/>
    <w:footnote w:id="0"/>
  </w:footnotePr>
  <w:endnotePr>
    <w:endnote w:id="-1"/>
    <w:endnote w:id="0"/>
  </w:endnotePr>
  <w:compat/>
  <w:rsids>
    <w:rsidRoot w:val="003030AB"/>
    <w:rsid w:val="0001141E"/>
    <w:rsid w:val="00055361"/>
    <w:rsid w:val="000860B1"/>
    <w:rsid w:val="000A25CD"/>
    <w:rsid w:val="00110483"/>
    <w:rsid w:val="0012797B"/>
    <w:rsid w:val="00133E8E"/>
    <w:rsid w:val="0013713D"/>
    <w:rsid w:val="00155FB7"/>
    <w:rsid w:val="001803F0"/>
    <w:rsid w:val="00190C7A"/>
    <w:rsid w:val="001A4A9D"/>
    <w:rsid w:val="001C1E67"/>
    <w:rsid w:val="001D5A94"/>
    <w:rsid w:val="00214D39"/>
    <w:rsid w:val="00244268"/>
    <w:rsid w:val="002843B4"/>
    <w:rsid w:val="002B3F14"/>
    <w:rsid w:val="003030AB"/>
    <w:rsid w:val="00310F46"/>
    <w:rsid w:val="00351070"/>
    <w:rsid w:val="00362DFA"/>
    <w:rsid w:val="00393A6A"/>
    <w:rsid w:val="00412CC1"/>
    <w:rsid w:val="004262BD"/>
    <w:rsid w:val="004478C9"/>
    <w:rsid w:val="004841FD"/>
    <w:rsid w:val="00490708"/>
    <w:rsid w:val="00491A45"/>
    <w:rsid w:val="004C4140"/>
    <w:rsid w:val="004D2707"/>
    <w:rsid w:val="004E0C39"/>
    <w:rsid w:val="004E11CE"/>
    <w:rsid w:val="00506EA4"/>
    <w:rsid w:val="00512044"/>
    <w:rsid w:val="00554F1D"/>
    <w:rsid w:val="00564F48"/>
    <w:rsid w:val="00596C27"/>
    <w:rsid w:val="005A164E"/>
    <w:rsid w:val="005C2709"/>
    <w:rsid w:val="005D5FA5"/>
    <w:rsid w:val="005F2741"/>
    <w:rsid w:val="00607847"/>
    <w:rsid w:val="00623DC1"/>
    <w:rsid w:val="00632471"/>
    <w:rsid w:val="00651966"/>
    <w:rsid w:val="006567A0"/>
    <w:rsid w:val="00671D17"/>
    <w:rsid w:val="006956A7"/>
    <w:rsid w:val="006B1A12"/>
    <w:rsid w:val="006B45FF"/>
    <w:rsid w:val="006F4C3F"/>
    <w:rsid w:val="007035E4"/>
    <w:rsid w:val="00715810"/>
    <w:rsid w:val="00724D2C"/>
    <w:rsid w:val="007307AF"/>
    <w:rsid w:val="00734580"/>
    <w:rsid w:val="007627A8"/>
    <w:rsid w:val="00764CFA"/>
    <w:rsid w:val="00780FAC"/>
    <w:rsid w:val="00794659"/>
    <w:rsid w:val="007C7B87"/>
    <w:rsid w:val="007F5715"/>
    <w:rsid w:val="008373B2"/>
    <w:rsid w:val="00852E2D"/>
    <w:rsid w:val="0089312F"/>
    <w:rsid w:val="008932B2"/>
    <w:rsid w:val="008A37D4"/>
    <w:rsid w:val="008A38B6"/>
    <w:rsid w:val="008F6C80"/>
    <w:rsid w:val="00904C01"/>
    <w:rsid w:val="00906A3A"/>
    <w:rsid w:val="0093739D"/>
    <w:rsid w:val="00941138"/>
    <w:rsid w:val="00941AFB"/>
    <w:rsid w:val="009611F1"/>
    <w:rsid w:val="00987E43"/>
    <w:rsid w:val="009B6578"/>
    <w:rsid w:val="009B6ED9"/>
    <w:rsid w:val="009C1546"/>
    <w:rsid w:val="009D1516"/>
    <w:rsid w:val="009D1D3C"/>
    <w:rsid w:val="009F04C9"/>
    <w:rsid w:val="009F1415"/>
    <w:rsid w:val="009F3870"/>
    <w:rsid w:val="00A01CD8"/>
    <w:rsid w:val="00A227CC"/>
    <w:rsid w:val="00A24AD4"/>
    <w:rsid w:val="00A25D55"/>
    <w:rsid w:val="00A339A3"/>
    <w:rsid w:val="00A41FF2"/>
    <w:rsid w:val="00A4201C"/>
    <w:rsid w:val="00A51115"/>
    <w:rsid w:val="00A765BF"/>
    <w:rsid w:val="00AB4BF0"/>
    <w:rsid w:val="00AF2615"/>
    <w:rsid w:val="00B97137"/>
    <w:rsid w:val="00BD0786"/>
    <w:rsid w:val="00BF37C6"/>
    <w:rsid w:val="00C302F8"/>
    <w:rsid w:val="00C538D1"/>
    <w:rsid w:val="00C6300E"/>
    <w:rsid w:val="00C808EF"/>
    <w:rsid w:val="00CB5480"/>
    <w:rsid w:val="00CE6322"/>
    <w:rsid w:val="00D30398"/>
    <w:rsid w:val="00D43EED"/>
    <w:rsid w:val="00D604FF"/>
    <w:rsid w:val="00D704C4"/>
    <w:rsid w:val="00D8313C"/>
    <w:rsid w:val="00DA1AA5"/>
    <w:rsid w:val="00DA586A"/>
    <w:rsid w:val="00DD3ED2"/>
    <w:rsid w:val="00E16AEE"/>
    <w:rsid w:val="00E4177A"/>
    <w:rsid w:val="00E41BD3"/>
    <w:rsid w:val="00E4711A"/>
    <w:rsid w:val="00E56924"/>
    <w:rsid w:val="00E57090"/>
    <w:rsid w:val="00E876FC"/>
    <w:rsid w:val="00E904C2"/>
    <w:rsid w:val="00E90A34"/>
    <w:rsid w:val="00E96513"/>
    <w:rsid w:val="00EA3110"/>
    <w:rsid w:val="00EF496F"/>
    <w:rsid w:val="00F05407"/>
    <w:rsid w:val="00F168B5"/>
    <w:rsid w:val="00F301BC"/>
    <w:rsid w:val="00FF6EAC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86"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rsid w:val="00BD0786"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rsid w:val="00BD0786"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rsid w:val="00BD0786"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rsid w:val="00BD0786"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rsid w:val="00BD0786"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rsid w:val="00BD0786"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OC3">
    <w:name w:val="toc 3"/>
    <w:basedOn w:val="Normal"/>
    <w:next w:val="Normal"/>
    <w:rsid w:val="00BD0786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rsid w:val="00BD0786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rsid w:val="00BD0786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rsid w:val="00BD0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786"/>
  </w:style>
  <w:style w:type="paragraph" w:styleId="Header">
    <w:name w:val="header"/>
    <w:basedOn w:val="Normal"/>
    <w:rsid w:val="00BD0786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rsid w:val="00BD0786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rsid w:val="00BD0786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rsid w:val="00BD0786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rsid w:val="00BD0786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rsid w:val="00BD0786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rsid w:val="00BD0786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rsid w:val="00BD0786"/>
    <w:pPr>
      <w:spacing w:before="120"/>
      <w:ind w:left="2160"/>
    </w:pPr>
  </w:style>
  <w:style w:type="paragraph" w:customStyle="1" w:styleId="ctbody">
    <w:name w:val="ctbody"/>
    <w:basedOn w:val="Normal"/>
    <w:rsid w:val="00BD0786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  <w:rsid w:val="00BD0786"/>
  </w:style>
  <w:style w:type="paragraph" w:customStyle="1" w:styleId="HW1">
    <w:name w:val="HW1"/>
    <w:basedOn w:val="Normal"/>
    <w:rsid w:val="00BD0786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rsid w:val="00BD0786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rsid w:val="00BD0786"/>
    <w:pPr>
      <w:spacing w:before="120"/>
      <w:ind w:left="3240"/>
    </w:pPr>
  </w:style>
  <w:style w:type="paragraph" w:customStyle="1" w:styleId="cteqn">
    <w:name w:val="cteqn"/>
    <w:basedOn w:val="Normal"/>
    <w:rsid w:val="00BD0786"/>
    <w:pPr>
      <w:ind w:left="1620"/>
    </w:pPr>
  </w:style>
  <w:style w:type="paragraph" w:customStyle="1" w:styleId="cta">
    <w:name w:val="cta"/>
    <w:basedOn w:val="Normal"/>
    <w:rsid w:val="00BD0786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rsid w:val="00BD0786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rsid w:val="00BD0786"/>
    <w:pPr>
      <w:ind w:left="2160"/>
    </w:pPr>
  </w:style>
  <w:style w:type="paragraph" w:customStyle="1" w:styleId="ctnoteeqn">
    <w:name w:val="ctnoteeqn"/>
    <w:basedOn w:val="Normal"/>
    <w:rsid w:val="00BD0786"/>
    <w:pPr>
      <w:spacing w:before="120"/>
      <w:ind w:left="2700"/>
    </w:pPr>
  </w:style>
  <w:style w:type="paragraph" w:customStyle="1" w:styleId="ctsubnotebodyeqn">
    <w:name w:val="ctsubnotebodyeqn"/>
    <w:basedOn w:val="Normal"/>
    <w:rsid w:val="00BD0786"/>
    <w:pPr>
      <w:ind w:left="3780"/>
    </w:pPr>
  </w:style>
  <w:style w:type="character" w:styleId="Hyperlink">
    <w:name w:val="Hyperlink"/>
    <w:rsid w:val="00BD0786"/>
    <w:rPr>
      <w:color w:val="6A3400"/>
      <w:u w:val="single"/>
    </w:rPr>
  </w:style>
  <w:style w:type="character" w:styleId="FollowedHyperlink">
    <w:name w:val="FollowedHyperlink"/>
    <w:rsid w:val="00BD0786"/>
    <w:rPr>
      <w:color w:val="800080"/>
      <w:u w:val="single"/>
    </w:rPr>
  </w:style>
  <w:style w:type="paragraph" w:customStyle="1" w:styleId="Matlab">
    <w:name w:val="Matlab"/>
    <w:basedOn w:val="Normal"/>
    <w:rsid w:val="00BD0786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rsid w:val="00BD0786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oter" Target="footer1.xml"/><Relationship Id="rId47" Type="http://schemas.openxmlformats.org/officeDocument/2006/relationships/fontTable" Target="fontTable.xml"/><Relationship Id="rId48" Type="http://schemas.openxmlformats.org/officeDocument/2006/relationships/theme" Target="theme/theme1.xml"/><Relationship Id="rId49" Type="http://schemas.microsoft.com/office/2007/relationships/stylesWithEffects" Target="stylesWithEffects.xml"/><Relationship Id="rId20" Type="http://schemas.openxmlformats.org/officeDocument/2006/relationships/image" Target="media/image9.emf"/><Relationship Id="rId21" Type="http://schemas.openxmlformats.org/officeDocument/2006/relationships/oleObject" Target="embeddings/oleObject7.bin"/><Relationship Id="rId22" Type="http://schemas.openxmlformats.org/officeDocument/2006/relationships/image" Target="media/image10.png"/><Relationship Id="rId23" Type="http://schemas.openxmlformats.org/officeDocument/2006/relationships/image" Target="media/image11.emf"/><Relationship Id="rId24" Type="http://schemas.openxmlformats.org/officeDocument/2006/relationships/oleObject" Target="embeddings/oleObject8.bin"/><Relationship Id="rId25" Type="http://schemas.openxmlformats.org/officeDocument/2006/relationships/image" Target="media/image12.emf"/><Relationship Id="rId26" Type="http://schemas.openxmlformats.org/officeDocument/2006/relationships/oleObject" Target="embeddings/oleObject9.bin"/><Relationship Id="rId27" Type="http://schemas.openxmlformats.org/officeDocument/2006/relationships/image" Target="media/image13.emf"/><Relationship Id="rId28" Type="http://schemas.openxmlformats.org/officeDocument/2006/relationships/oleObject" Target="embeddings/oleObject10.bin"/><Relationship Id="rId29" Type="http://schemas.openxmlformats.org/officeDocument/2006/relationships/image" Target="media/image14.e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30" Type="http://schemas.openxmlformats.org/officeDocument/2006/relationships/oleObject" Target="embeddings/oleObject11.bin"/><Relationship Id="rId31" Type="http://schemas.openxmlformats.org/officeDocument/2006/relationships/image" Target="media/image15.png"/><Relationship Id="rId32" Type="http://schemas.openxmlformats.org/officeDocument/2006/relationships/image" Target="media/image16.emf"/><Relationship Id="rId9" Type="http://schemas.openxmlformats.org/officeDocument/2006/relationships/oleObject" Target="embeddings/oleObject2.bin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image" Target="media/image2.emf"/><Relationship Id="rId33" Type="http://schemas.openxmlformats.org/officeDocument/2006/relationships/oleObject" Target="embeddings/oleObject12.bin"/><Relationship Id="rId34" Type="http://schemas.openxmlformats.org/officeDocument/2006/relationships/image" Target="media/image17.emf"/><Relationship Id="rId35" Type="http://schemas.openxmlformats.org/officeDocument/2006/relationships/oleObject" Target="embeddings/oleObject13.bin"/><Relationship Id="rId36" Type="http://schemas.openxmlformats.org/officeDocument/2006/relationships/image" Target="media/image18.emf"/><Relationship Id="rId10" Type="http://schemas.openxmlformats.org/officeDocument/2006/relationships/image" Target="media/image3.emf"/><Relationship Id="rId11" Type="http://schemas.openxmlformats.org/officeDocument/2006/relationships/oleObject" Target="embeddings/oleObject3.bin"/><Relationship Id="rId12" Type="http://schemas.openxmlformats.org/officeDocument/2006/relationships/image" Target="media/image4.png"/><Relationship Id="rId13" Type="http://schemas.openxmlformats.org/officeDocument/2006/relationships/image" Target="media/image5.emf"/><Relationship Id="rId14" Type="http://schemas.openxmlformats.org/officeDocument/2006/relationships/oleObject" Target="embeddings/oleObject4.bin"/><Relationship Id="rId15" Type="http://schemas.openxmlformats.org/officeDocument/2006/relationships/image" Target="media/image6.emf"/><Relationship Id="rId16" Type="http://schemas.openxmlformats.org/officeDocument/2006/relationships/oleObject" Target="embeddings/oleObject5.bin"/><Relationship Id="rId17" Type="http://schemas.openxmlformats.org/officeDocument/2006/relationships/image" Target="media/image7.png"/><Relationship Id="rId18" Type="http://schemas.openxmlformats.org/officeDocument/2006/relationships/image" Target="media/image8.emf"/><Relationship Id="rId19" Type="http://schemas.openxmlformats.org/officeDocument/2006/relationships/oleObject" Target="embeddings/oleObject6.bin"/><Relationship Id="rId37" Type="http://schemas.openxmlformats.org/officeDocument/2006/relationships/oleObject" Target="embeddings/oleObject14.bin"/><Relationship Id="rId38" Type="http://schemas.openxmlformats.org/officeDocument/2006/relationships/image" Target="media/image19.emf"/><Relationship Id="rId39" Type="http://schemas.openxmlformats.org/officeDocument/2006/relationships/oleObject" Target="embeddings/oleObject15.bin"/><Relationship Id="rId40" Type="http://schemas.openxmlformats.org/officeDocument/2006/relationships/image" Target="media/image20.emf"/><Relationship Id="rId41" Type="http://schemas.openxmlformats.org/officeDocument/2006/relationships/oleObject" Target="embeddings/oleObject16.bin"/><Relationship Id="rId42" Type="http://schemas.openxmlformats.org/officeDocument/2006/relationships/image" Target="media/image21.png"/><Relationship Id="rId43" Type="http://schemas.openxmlformats.org/officeDocument/2006/relationships/image" Target="media/image22.emf"/><Relationship Id="rId44" Type="http://schemas.openxmlformats.org/officeDocument/2006/relationships/oleObject" Target="embeddings/oleObject17.bin"/><Relationship Id="rId4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461</Words>
  <Characters>2629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3228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123</cp:revision>
  <cp:lastPrinted>2005-08-12T22:40:00Z</cp:lastPrinted>
  <dcterms:created xsi:type="dcterms:W3CDTF">2016-01-19T02:38:00Z</dcterms:created>
  <dcterms:modified xsi:type="dcterms:W3CDTF">2019-02-22T00:41:00Z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