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8736B2" w14:paraId="3E083260" w14:textId="77777777">
        <w:trPr>
          <w:trHeight w:val="336"/>
          <w:jc w:val="right"/>
        </w:trPr>
        <w:tc>
          <w:tcPr>
            <w:tcW w:w="2880" w:type="dxa"/>
            <w:vAlign w:val="center"/>
          </w:tcPr>
          <w:p w14:paraId="295D5C8E" w14:textId="77777777" w:rsidR="008736B2" w:rsidRPr="00C2777D" w:rsidRDefault="00437DD3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szCs w:val="24"/>
              </w:rPr>
              <w:drawing>
                <wp:inline distT="0" distB="0" distL="0" distR="0" wp14:anchorId="3A89BDF9" wp14:editId="5149DACA">
                  <wp:extent cx="1432560" cy="162560"/>
                  <wp:effectExtent l="0" t="0" r="0" b="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7DB46F60" w14:textId="77777777" w:rsidR="008736B2" w:rsidRDefault="008736B2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14:paraId="0E21B422" w14:textId="77777777" w:rsidR="008736B2" w:rsidRDefault="008736B2" w:rsidP="00040816">
            <w:pPr>
              <w:pStyle w:val="Heading1"/>
              <w:keepNext/>
              <w:spacing w:line="360" w:lineRule="exact"/>
              <w:rPr>
                <w:sz w:val="24"/>
              </w:rPr>
            </w:pPr>
            <w:r>
              <w:t>Probability</w:t>
            </w:r>
          </w:p>
        </w:tc>
      </w:tr>
      <w:tr w:rsidR="008736B2" w14:paraId="361E4153" w14:textId="77777777">
        <w:trPr>
          <w:jc w:val="right"/>
        </w:trPr>
        <w:tc>
          <w:tcPr>
            <w:tcW w:w="2880" w:type="dxa"/>
          </w:tcPr>
          <w:p w14:paraId="5B81654A" w14:textId="77777777" w:rsidR="008736B2" w:rsidRDefault="008736B2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14:paraId="0E17AE9D" w14:textId="77777777" w:rsidR="008736B2" w:rsidRDefault="008736B2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14:paraId="3D9271A3" w14:textId="77777777" w:rsidR="008736B2" w:rsidRDefault="008736B2" w:rsidP="00040816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Basic probability</w:t>
            </w:r>
          </w:p>
        </w:tc>
      </w:tr>
      <w:tr w:rsidR="008736B2" w14:paraId="62963DE0" w14:textId="77777777">
        <w:trPr>
          <w:jc w:val="right"/>
        </w:trPr>
        <w:tc>
          <w:tcPr>
            <w:tcW w:w="2880" w:type="dxa"/>
          </w:tcPr>
          <w:p w14:paraId="41BCCF17" w14:textId="77777777" w:rsidR="008736B2" w:rsidRDefault="008736B2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14:paraId="03617934" w14:textId="77777777" w:rsidR="008736B2" w:rsidRDefault="008736B2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14:paraId="4D737D2E" w14:textId="77777777" w:rsidR="008736B2" w:rsidRDefault="008736B2" w:rsidP="00040816">
            <w:pPr>
              <w:pStyle w:val="Heading3"/>
              <w:keepNext/>
              <w:ind w:left="0"/>
            </w:pPr>
            <w:r>
              <w:t>Venn diagrams</w:t>
            </w:r>
          </w:p>
        </w:tc>
      </w:tr>
      <w:tr w:rsidR="008736B2" w14:paraId="2E2F07C6" w14:textId="77777777">
        <w:trPr>
          <w:jc w:val="right"/>
        </w:trPr>
        <w:tc>
          <w:tcPr>
            <w:tcW w:w="2880" w:type="dxa"/>
          </w:tcPr>
          <w:p w14:paraId="38D0B75B" w14:textId="77777777" w:rsidR="008736B2" w:rsidRDefault="008736B2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14:paraId="3A16F700" w14:textId="77777777" w:rsidR="008736B2" w:rsidRDefault="008736B2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14:paraId="1E0E85C8" w14:textId="77777777" w:rsidR="008736B2" w:rsidRDefault="008736B2" w:rsidP="00040816">
            <w:pPr>
              <w:pStyle w:val="Heading4"/>
              <w:keepNext/>
              <w:jc w:val="right"/>
            </w:pPr>
            <w:r>
              <w:t>Overview</w:t>
            </w:r>
          </w:p>
        </w:tc>
      </w:tr>
      <w:tr w:rsidR="00F301BC" w14:paraId="4F011C01" w14:textId="77777777">
        <w:trPr>
          <w:jc w:val="right"/>
        </w:trPr>
        <w:tc>
          <w:tcPr>
            <w:tcW w:w="2880" w:type="dxa"/>
          </w:tcPr>
          <w:p w14:paraId="5D4A00A8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14:paraId="7B08230A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14:paraId="02353A10" w14:textId="77777777" w:rsidR="00F301BC" w:rsidRDefault="00F301BC">
            <w:pPr>
              <w:pStyle w:val="Heading5"/>
              <w:jc w:val="right"/>
            </w:pPr>
          </w:p>
        </w:tc>
      </w:tr>
    </w:tbl>
    <w:p w14:paraId="789C21F0" w14:textId="77777777" w:rsidR="00F301BC" w:rsidRDefault="00C641B2">
      <w:pPr>
        <w:spacing w:line="180" w:lineRule="exact"/>
        <w:ind w:left="-1800" w:right="-1800"/>
      </w:pPr>
      <w:r>
        <w:pict w14:anchorId="195B4F5A">
          <v:rect id="_x0000_i1025" style="width:576.5pt;height:1pt" o:hrpct="942" o:hralign="center" o:hrstd="t" o:hrnoshade="t" o:hr="t" fillcolor="black" stroked="f"/>
        </w:pict>
      </w:r>
    </w:p>
    <w:p w14:paraId="18CEE149" w14:textId="77777777" w:rsidR="00F301BC" w:rsidRDefault="00F301BC">
      <w:pPr>
        <w:pStyle w:val="Heading3"/>
        <w:spacing w:line="320" w:lineRule="exact"/>
        <w:ind w:left="0"/>
        <w:jc w:val="left"/>
      </w:pPr>
    </w:p>
    <w:p w14:paraId="53A572FA" w14:textId="30D3CFE7" w:rsidR="00F301BC" w:rsidRDefault="00F301BC">
      <w:pPr>
        <w:pStyle w:val="ct"/>
        <w:rPr>
          <w:rFonts w:ascii="Symbol" w:hAnsi="Symbol"/>
        </w:rPr>
      </w:pPr>
      <w:r>
        <w:rPr>
          <w:b/>
          <w:smallCaps/>
        </w:rPr>
        <w:t>Tool</w:t>
      </w:r>
      <w:r>
        <w:rPr>
          <w:b/>
        </w:rPr>
        <w:t>:</w:t>
      </w:r>
      <w:r>
        <w:tab/>
      </w:r>
      <w:r w:rsidR="000664F4">
        <w:t xml:space="preserve">A Venn diagram shows the sample space, </w:t>
      </w:r>
      <w:r w:rsidR="000664F4">
        <w:rPr>
          <w:i/>
        </w:rPr>
        <w:t>S</w:t>
      </w:r>
      <w:r w:rsidR="000664F4" w:rsidRPr="000664F4">
        <w:t>,</w:t>
      </w:r>
      <w:r w:rsidR="000664F4">
        <w:t xml:space="preserve"> as a unit area (typically a rectangle), and the probabilities of events as areas whose sizes are the probabilities of the events.</w:t>
      </w:r>
      <w:r w:rsidR="00357920">
        <w:t xml:space="preserve">  The size of overlap between areas indicates the probability of intersections of events.</w:t>
      </w:r>
    </w:p>
    <w:p w14:paraId="0D38C946" w14:textId="77777777" w:rsidR="000664F4" w:rsidRPr="00E50C7D" w:rsidRDefault="000664F4" w:rsidP="000664F4">
      <w:pPr>
        <w:pStyle w:val="ct"/>
        <w:rPr>
          <w:rFonts w:ascii="Symbol" w:hAnsi="Symbol"/>
        </w:rPr>
      </w:pPr>
      <w:r>
        <w:rPr>
          <w:b/>
          <w:smallCaps/>
        </w:rPr>
        <w:t>Ex</w:t>
      </w:r>
      <w:r>
        <w:rPr>
          <w:b/>
        </w:rPr>
        <w:t>:</w:t>
      </w:r>
      <w:r>
        <w:tab/>
      </w:r>
      <w:r w:rsidR="00E50C7D">
        <w:t xml:space="preserve">Let </w:t>
      </w:r>
      <w:r w:rsidR="00E50C7D">
        <w:rPr>
          <w:i/>
        </w:rPr>
        <w:t>R</w:t>
      </w:r>
      <w:r w:rsidR="00E50C7D">
        <w:t xml:space="preserve"> be the event that a voter is a republican.  Let </w:t>
      </w:r>
      <w:r w:rsidR="00E50C7D" w:rsidRPr="00E50C7D">
        <w:rPr>
          <w:i/>
        </w:rPr>
        <w:t>G</w:t>
      </w:r>
      <w:r w:rsidR="00E50C7D">
        <w:t xml:space="preserve"> be the event that a voter favors government surveillance of cellphone calls</w:t>
      </w:r>
      <w:r w:rsidR="007D7DE2">
        <w:t xml:space="preserve"> (by compiling logs)</w:t>
      </w:r>
      <w:r w:rsidR="00E50C7D">
        <w:t>.</w:t>
      </w:r>
      <w:r w:rsidR="00100BD6">
        <w:t xml:space="preserve">  Suppose we have the following data:</w:t>
      </w:r>
    </w:p>
    <w:p w14:paraId="29E7893F" w14:textId="77777777" w:rsidR="00F301BC" w:rsidRDefault="0014268A">
      <w:pPr>
        <w:pStyle w:val="cteqn"/>
        <w:spacing w:before="60" w:after="60"/>
        <w:rPr>
          <w:rFonts w:ascii="Times New Roman" w:hAnsi="Times New Roman"/>
        </w:rPr>
      </w:pPr>
      <w:r>
        <w:rPr>
          <w:i/>
        </w:rPr>
        <w:t>P</w:t>
      </w:r>
      <w:r>
        <w:t>(</w:t>
      </w:r>
      <w:r>
        <w:rPr>
          <w:i/>
        </w:rPr>
        <w:t>R</w:t>
      </w:r>
      <w:r>
        <w:t xml:space="preserve">) </w:t>
      </w:r>
      <w:r w:rsidR="00FE115E">
        <w:rPr>
          <w:rFonts w:ascii="Times New Roman" w:hAnsi="Times New Roman"/>
        </w:rPr>
        <w:t>≡ 0.39 (39</w:t>
      </w:r>
      <w:r>
        <w:rPr>
          <w:rFonts w:ascii="Times New Roman" w:hAnsi="Times New Roman"/>
        </w:rPr>
        <w:t>% republicans [1]</w:t>
      </w:r>
      <w:r w:rsidR="00A40590">
        <w:rPr>
          <w:rFonts w:ascii="Times New Roman" w:hAnsi="Times New Roman"/>
        </w:rPr>
        <w:t>)</w:t>
      </w:r>
    </w:p>
    <w:p w14:paraId="32890071" w14:textId="73C607E2" w:rsidR="00393D35" w:rsidRDefault="00393D35" w:rsidP="00393D35">
      <w:pPr>
        <w:pStyle w:val="cteqn"/>
        <w:spacing w:before="60" w:after="60"/>
        <w:rPr>
          <w:rFonts w:ascii="Times New Roman" w:hAnsi="Times New Roman"/>
        </w:rPr>
      </w:pPr>
      <w:r>
        <w:rPr>
          <w:i/>
        </w:rPr>
        <w:t>P</w:t>
      </w:r>
      <w:r>
        <w:t>(</w:t>
      </w:r>
      <w:r>
        <w:rPr>
          <w:i/>
        </w:rPr>
        <w:t>G</w:t>
      </w:r>
      <w:r>
        <w:t xml:space="preserve">) </w:t>
      </w:r>
      <w:r>
        <w:rPr>
          <w:rFonts w:ascii="Times New Roman" w:hAnsi="Times New Roman"/>
        </w:rPr>
        <w:t>≡ 0.3</w:t>
      </w:r>
      <w:r w:rsidR="00FE115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(3</w:t>
      </w:r>
      <w:r w:rsidR="00FE115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% </w:t>
      </w:r>
      <w:r w:rsidR="00B3203E">
        <w:rPr>
          <w:rFonts w:ascii="Times New Roman" w:hAnsi="Times New Roman"/>
        </w:rPr>
        <w:t xml:space="preserve">of all voters </w:t>
      </w:r>
      <w:r w:rsidR="00FE115E">
        <w:rPr>
          <w:rFonts w:ascii="Times New Roman" w:hAnsi="Times New Roman"/>
        </w:rPr>
        <w:t>favor cell phone surveillance</w:t>
      </w:r>
      <w:r>
        <w:rPr>
          <w:rFonts w:ascii="Times New Roman" w:hAnsi="Times New Roman"/>
        </w:rPr>
        <w:t xml:space="preserve"> [</w:t>
      </w:r>
      <w:r w:rsidR="0039459C">
        <w:rPr>
          <w:rFonts w:ascii="Times New Roman" w:hAnsi="Times New Roman"/>
        </w:rPr>
        <w:t>2</w:t>
      </w:r>
      <w:r>
        <w:rPr>
          <w:rFonts w:ascii="Times New Roman" w:hAnsi="Times New Roman"/>
        </w:rPr>
        <w:t>])</w:t>
      </w:r>
    </w:p>
    <w:p w14:paraId="4CE2BEA0" w14:textId="74D2FC1B" w:rsidR="00393D35" w:rsidRDefault="00655062" w:rsidP="00B32AE8">
      <w:pPr>
        <w:pStyle w:val="cteqn"/>
        <w:spacing w:before="60" w:after="60"/>
        <w:ind w:left="2385" w:hanging="765"/>
        <w:rPr>
          <w:rFonts w:ascii="Times New Roman" w:hAnsi="Times New Roman"/>
        </w:rPr>
      </w:pPr>
      <w:r>
        <w:rPr>
          <w:i/>
        </w:rPr>
        <w:t>P</w:t>
      </w:r>
      <w:r>
        <w:t>(</w:t>
      </w:r>
      <w:r w:rsidR="00A846BF">
        <w:rPr>
          <w:i/>
        </w:rPr>
        <w:t>F</w:t>
      </w:r>
      <w:r>
        <w:t xml:space="preserve">) </w:t>
      </w:r>
      <w:r>
        <w:rPr>
          <w:rFonts w:ascii="Times New Roman" w:hAnsi="Times New Roman"/>
        </w:rPr>
        <w:t xml:space="preserve">≡ </w:t>
      </w:r>
      <w:r w:rsidR="00393D35">
        <w:rPr>
          <w:i/>
        </w:rPr>
        <w:t>P</w:t>
      </w:r>
      <w:r w:rsidR="00393D35">
        <w:t>(</w:t>
      </w:r>
      <w:r w:rsidR="00393D35">
        <w:rPr>
          <w:i/>
        </w:rPr>
        <w:t>R</w:t>
      </w:r>
      <w:r w:rsidR="00393D35">
        <w:t>)</w:t>
      </w:r>
      <w:r w:rsidR="00FA46C0">
        <w:rPr>
          <w:rFonts w:ascii="Times New Roman" w:hAnsi="Times New Roman"/>
        </w:rPr>
        <w:t>∩</w:t>
      </w:r>
      <w:r w:rsidR="00FA46C0">
        <w:rPr>
          <w:rFonts w:ascii="Times New Roman" w:hAnsi="Times New Roman"/>
          <w:i/>
        </w:rPr>
        <w:t>P</w:t>
      </w:r>
      <w:r w:rsidR="00FA46C0">
        <w:rPr>
          <w:rFonts w:ascii="Times New Roman" w:hAnsi="Times New Roman"/>
        </w:rPr>
        <w:t>(</w:t>
      </w:r>
      <w:r w:rsidR="00FA46C0">
        <w:rPr>
          <w:rFonts w:ascii="Times New Roman" w:hAnsi="Times New Roman"/>
          <w:i/>
        </w:rPr>
        <w:t>G</w:t>
      </w:r>
      <w:r w:rsidR="00FA46C0">
        <w:rPr>
          <w:rFonts w:ascii="Times New Roman" w:hAnsi="Times New Roman"/>
        </w:rPr>
        <w:t>)</w:t>
      </w:r>
      <w:r w:rsidR="00393D35">
        <w:t xml:space="preserve"> </w:t>
      </w:r>
      <w:r w:rsidR="00393D35">
        <w:rPr>
          <w:rFonts w:ascii="Times New Roman" w:hAnsi="Times New Roman"/>
        </w:rPr>
        <w:t>≡ 0.</w:t>
      </w:r>
      <w:r w:rsidR="00FA46C0">
        <w:rPr>
          <w:rFonts w:ascii="Times New Roman" w:hAnsi="Times New Roman"/>
        </w:rPr>
        <w:t>24</w:t>
      </w:r>
      <w:r w:rsidR="00393D35">
        <w:rPr>
          <w:rFonts w:ascii="Times New Roman" w:hAnsi="Times New Roman"/>
        </w:rPr>
        <w:t xml:space="preserve"> (republican</w:t>
      </w:r>
      <w:r w:rsidR="00C641B2">
        <w:rPr>
          <w:rFonts w:ascii="Times New Roman" w:hAnsi="Times New Roman"/>
        </w:rPr>
        <w:t xml:space="preserve"> and</w:t>
      </w:r>
      <w:r w:rsidR="00393D35">
        <w:rPr>
          <w:rFonts w:ascii="Times New Roman" w:hAnsi="Times New Roman"/>
        </w:rPr>
        <w:t xml:space="preserve"> </w:t>
      </w:r>
      <w:r w:rsidR="00FA46C0">
        <w:rPr>
          <w:rFonts w:ascii="Times New Roman" w:hAnsi="Times New Roman"/>
        </w:rPr>
        <w:t>in favor</w:t>
      </w:r>
      <w:r w:rsidR="00B32AE8">
        <w:rPr>
          <w:rFonts w:ascii="Times New Roman" w:hAnsi="Times New Roman"/>
        </w:rPr>
        <w:t xml:space="preserve"> of surveillance</w:t>
      </w:r>
      <w:r w:rsidR="00FA46C0">
        <w:rPr>
          <w:rFonts w:ascii="Times New Roman" w:hAnsi="Times New Roman"/>
        </w:rPr>
        <w:t xml:space="preserve"> </w:t>
      </w:r>
      <w:r w:rsidR="00393D35">
        <w:rPr>
          <w:rFonts w:ascii="Times New Roman" w:hAnsi="Times New Roman"/>
        </w:rPr>
        <w:t>[</w:t>
      </w:r>
      <w:r w:rsidR="00FA46C0">
        <w:rPr>
          <w:rFonts w:ascii="Times New Roman" w:hAnsi="Times New Roman"/>
        </w:rPr>
        <w:t>3</w:t>
      </w:r>
      <w:r w:rsidR="00393D35">
        <w:rPr>
          <w:rFonts w:ascii="Times New Roman" w:hAnsi="Times New Roman"/>
        </w:rPr>
        <w:t>])</w:t>
      </w:r>
    </w:p>
    <w:p w14:paraId="31B7D638" w14:textId="50509DD8" w:rsidR="0014268A" w:rsidRDefault="00A846BF" w:rsidP="00A846BF">
      <w:pPr>
        <w:pStyle w:val="cteqn"/>
        <w:spacing w:before="60" w:after="6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Venn diagram:</w:t>
      </w:r>
      <w:bookmarkStart w:id="0" w:name="_GoBack"/>
      <w:bookmarkEnd w:id="0"/>
    </w:p>
    <w:p w14:paraId="5C8CCDDE" w14:textId="0F02ABFB" w:rsidR="00AF4F1D" w:rsidRPr="0014268A" w:rsidRDefault="00655062">
      <w:pPr>
        <w:pStyle w:val="cteqn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 wp14:anchorId="5837D173" wp14:editId="00D47B5A">
            <wp:extent cx="2736850" cy="19050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92110" w14:textId="33F859F1" w:rsidR="00A846BF" w:rsidRDefault="00A846BF" w:rsidP="00A240EE">
      <w:pPr>
        <w:pStyle w:val="ctsubnote"/>
        <w:tabs>
          <w:tab w:val="clear" w:pos="3240"/>
          <w:tab w:val="left" w:pos="2070"/>
        </w:tabs>
        <w:ind w:left="2070" w:hanging="990"/>
      </w:pPr>
      <w:r>
        <w:rPr>
          <w:b/>
          <w:smallCaps/>
        </w:rPr>
        <w:t>Note:</w:t>
      </w:r>
      <w:r>
        <w:tab/>
      </w:r>
      <w:r>
        <w:rPr>
          <w:i/>
        </w:rPr>
        <w:t>R</w:t>
      </w:r>
      <w:r>
        <w:t xml:space="preserve"> and </w:t>
      </w:r>
      <w:r>
        <w:rPr>
          <w:i/>
        </w:rPr>
        <w:t>G</w:t>
      </w:r>
      <w:r>
        <w:t xml:space="preserve"> are the entire circles, while </w:t>
      </w:r>
      <w:r>
        <w:rPr>
          <w:i/>
        </w:rPr>
        <w:t xml:space="preserve">F </w:t>
      </w:r>
      <w:r>
        <w:t>is only the intersection of the circles.</w:t>
      </w:r>
    </w:p>
    <w:p w14:paraId="3EC27FBF" w14:textId="66E20608" w:rsidR="009602F5" w:rsidRPr="00A846BF" w:rsidRDefault="00AC3773" w:rsidP="009602F5">
      <w:pPr>
        <w:pStyle w:val="ctbody"/>
      </w:pPr>
      <w:r>
        <w:t>The Venn diagram makes set relationships apparent visually.</w:t>
      </w:r>
      <w:r w:rsidR="0055508D">
        <w:t xml:space="preserve">  The diagram makes it easier to see how to add and subtract probabilities of events and their intersections or unions.</w:t>
      </w:r>
    </w:p>
    <w:p w14:paraId="1BE920C7" w14:textId="77777777" w:rsidR="00F301BC" w:rsidRDefault="00F301BC" w:rsidP="00436E17">
      <w:pPr>
        <w:pStyle w:val="ctnote"/>
        <w:tabs>
          <w:tab w:val="clear" w:pos="2160"/>
          <w:tab w:val="left" w:pos="1800"/>
        </w:tabs>
        <w:spacing w:before="120"/>
      </w:pPr>
      <w:r>
        <w:rPr>
          <w:b/>
          <w:smallCaps/>
        </w:rPr>
        <w:t>Ref</w:t>
      </w:r>
      <w:r>
        <w:rPr>
          <w:b/>
        </w:rPr>
        <w:t>:</w:t>
      </w:r>
      <w:r>
        <w:tab/>
        <w:t>[1]</w:t>
      </w:r>
      <w:r>
        <w:tab/>
      </w:r>
      <w:r w:rsidR="00A40590">
        <w:rPr>
          <w:rFonts w:ascii="Times-Italic" w:hAnsi="Times-Italic"/>
        </w:rPr>
        <w:t xml:space="preserve">Wikipedia </w:t>
      </w:r>
      <w:r w:rsidR="00A40590">
        <w:rPr>
          <w:rFonts w:ascii="Times New Roman" w:hAnsi="Times New Roman"/>
        </w:rPr>
        <w:t>(accessed 1/18/2016)</w:t>
      </w:r>
    </w:p>
    <w:p w14:paraId="599B2997" w14:textId="77777777" w:rsidR="00A40590" w:rsidRDefault="00C641B2" w:rsidP="00CB4D38">
      <w:pPr>
        <w:pStyle w:val="ct"/>
        <w:tabs>
          <w:tab w:val="clear" w:pos="1080"/>
          <w:tab w:val="left" w:pos="1800"/>
        </w:tabs>
        <w:spacing w:before="0" w:line="240" w:lineRule="atLeast"/>
        <w:ind w:left="1800" w:firstLine="0"/>
        <w:jc w:val="left"/>
      </w:pPr>
      <w:hyperlink r:id="rId9" w:history="1">
        <w:r w:rsidR="00A40590" w:rsidRPr="0014268A">
          <w:rPr>
            <w:rStyle w:val="Hyperlink"/>
            <w:rFonts w:ascii="Times New Roman" w:hAnsi="Times New Roman"/>
          </w:rPr>
          <w:t>https://en.wikipedia.org/w/index.php?title=Political_party_strength_in_U.S._states&amp;oldid=699591358</w:t>
        </w:r>
      </w:hyperlink>
    </w:p>
    <w:p w14:paraId="1D5E0BAD" w14:textId="080E47A3" w:rsidR="00051D46" w:rsidRDefault="00051D46" w:rsidP="0055508D">
      <w:pPr>
        <w:pStyle w:val="ctnote"/>
        <w:tabs>
          <w:tab w:val="clear" w:pos="2160"/>
          <w:tab w:val="left" w:pos="1800"/>
        </w:tabs>
        <w:spacing w:before="120"/>
      </w:pPr>
      <w:r>
        <w:tab/>
        <w:t>[</w:t>
      </w:r>
      <w:r w:rsidR="00F85E24">
        <w:t>2</w:t>
      </w:r>
      <w:r>
        <w:t>]</w:t>
      </w:r>
      <w:r>
        <w:tab/>
      </w:r>
      <w:r w:rsidR="00F85E24">
        <w:rPr>
          <w:rFonts w:ascii="Times-Italic" w:hAnsi="Times-Italic"/>
        </w:rPr>
        <w:t>Gallup poll</w:t>
      </w:r>
      <w:r>
        <w:rPr>
          <w:rFonts w:ascii="Times-Italic" w:hAnsi="Times-Italic"/>
        </w:rPr>
        <w:t xml:space="preserve"> </w:t>
      </w:r>
      <w:r>
        <w:rPr>
          <w:rFonts w:ascii="Times New Roman" w:hAnsi="Times New Roman"/>
        </w:rPr>
        <w:t>(accessed 1/18/2016)</w:t>
      </w:r>
    </w:p>
    <w:p w14:paraId="3BF2A3BF" w14:textId="644B2D5F" w:rsidR="00051D46" w:rsidRDefault="00C641B2" w:rsidP="00CB4D38">
      <w:pPr>
        <w:pStyle w:val="ct"/>
        <w:tabs>
          <w:tab w:val="clear" w:pos="1080"/>
          <w:tab w:val="left" w:pos="1800"/>
        </w:tabs>
        <w:spacing w:before="0" w:line="240" w:lineRule="atLeast"/>
        <w:ind w:left="1800" w:firstLine="0"/>
        <w:jc w:val="left"/>
      </w:pPr>
      <w:hyperlink r:id="rId10" w:history="1">
        <w:r w:rsidR="00F85E24">
          <w:rPr>
            <w:rStyle w:val="Hyperlink"/>
            <w:rFonts w:ascii="Times New Roman" w:hAnsi="Times New Roman"/>
          </w:rPr>
          <w:t>http://www.gallup.com/poll/163043/americans-disapprove-government-surveillance-programs.aspx</w:t>
        </w:r>
      </w:hyperlink>
    </w:p>
    <w:p w14:paraId="66809D31" w14:textId="6588655E" w:rsidR="00051D46" w:rsidRDefault="00051D46" w:rsidP="0055508D">
      <w:pPr>
        <w:pStyle w:val="ctnote"/>
        <w:tabs>
          <w:tab w:val="clear" w:pos="2160"/>
          <w:tab w:val="left" w:pos="1800"/>
        </w:tabs>
        <w:spacing w:before="120"/>
      </w:pPr>
      <w:r>
        <w:tab/>
        <w:t>[</w:t>
      </w:r>
      <w:r w:rsidR="00CB4D38">
        <w:t>3</w:t>
      </w:r>
      <w:r>
        <w:t>]</w:t>
      </w:r>
      <w:r>
        <w:tab/>
      </w:r>
      <w:r w:rsidR="00CB4D38">
        <w:rPr>
          <w:rFonts w:ascii="Times-Italic" w:hAnsi="Times-Italic"/>
        </w:rPr>
        <w:t>Pew Research Center</w:t>
      </w:r>
      <w:r>
        <w:rPr>
          <w:rFonts w:ascii="Times-Italic" w:hAnsi="Times-Italic"/>
        </w:rPr>
        <w:t xml:space="preserve"> </w:t>
      </w:r>
      <w:r>
        <w:rPr>
          <w:rFonts w:ascii="Times New Roman" w:hAnsi="Times New Roman"/>
        </w:rPr>
        <w:t>(accessed 1/18/2016)</w:t>
      </w:r>
    </w:p>
    <w:p w14:paraId="6F1B5397" w14:textId="2A6A35DD" w:rsidR="00051D46" w:rsidRDefault="00C641B2" w:rsidP="00CB4D38">
      <w:pPr>
        <w:pStyle w:val="ct"/>
        <w:tabs>
          <w:tab w:val="clear" w:pos="1080"/>
          <w:tab w:val="left" w:pos="1800"/>
        </w:tabs>
        <w:spacing w:before="0" w:line="240" w:lineRule="atLeast"/>
        <w:ind w:left="1800" w:firstLine="0"/>
        <w:jc w:val="left"/>
      </w:pPr>
      <w:hyperlink r:id="rId11" w:history="1">
        <w:r w:rsidR="00CB4D38">
          <w:rPr>
            <w:rStyle w:val="Hyperlink"/>
            <w:rFonts w:ascii="Times New Roman" w:hAnsi="Times New Roman"/>
          </w:rPr>
          <w:t>http://www.people-press.org/2013/06/10/majority-views-nsa-phone-tracking-as-acceptable-anti-terror-tactic/</w:t>
        </w:r>
      </w:hyperlink>
    </w:p>
    <w:p w14:paraId="1A6FB00C" w14:textId="77777777" w:rsidR="00051D46" w:rsidRDefault="00051D46">
      <w:pPr>
        <w:pStyle w:val="Heading5"/>
      </w:pPr>
    </w:p>
    <w:sectPr w:rsidR="00051D46">
      <w:headerReference w:type="default" r:id="rId12"/>
      <w:footerReference w:type="default" r:id="rId13"/>
      <w:pgSz w:w="12240" w:h="15840"/>
      <w:pgMar w:top="960" w:right="1440" w:bottom="960" w:left="144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842B0" w14:textId="77777777" w:rsidR="00AC3773" w:rsidRDefault="00AC3773">
      <w:pPr>
        <w:spacing w:line="240" w:lineRule="auto"/>
      </w:pPr>
      <w:r>
        <w:separator/>
      </w:r>
    </w:p>
  </w:endnote>
  <w:endnote w:type="continuationSeparator" w:id="0">
    <w:p w14:paraId="365837BC" w14:textId="77777777" w:rsidR="00AC3773" w:rsidRDefault="00AC3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7F87A" w14:textId="77777777" w:rsidR="00AC3773" w:rsidRDefault="00AC3773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5105D" w14:textId="77777777" w:rsidR="00AC3773" w:rsidRDefault="00AC3773">
      <w:pPr>
        <w:spacing w:line="240" w:lineRule="auto"/>
      </w:pPr>
      <w:r>
        <w:separator/>
      </w:r>
    </w:p>
  </w:footnote>
  <w:footnote w:type="continuationSeparator" w:id="0">
    <w:p w14:paraId="077A8503" w14:textId="77777777" w:rsidR="00AC3773" w:rsidRDefault="00AC37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AC3773" w14:paraId="0C074582" w14:textId="77777777">
      <w:trPr>
        <w:jc w:val="right"/>
      </w:trPr>
      <w:tc>
        <w:tcPr>
          <w:tcW w:w="2640" w:type="dxa"/>
        </w:tcPr>
        <w:p w14:paraId="6542874E" w14:textId="77777777" w:rsidR="00AC3773" w:rsidRDefault="00AC3773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szCs w:val="24"/>
            </w:rPr>
            <w:drawing>
              <wp:inline distT="0" distB="0" distL="0" distR="0" wp14:anchorId="5F6FF062" wp14:editId="6465CAE6">
                <wp:extent cx="1432560" cy="162560"/>
                <wp:effectExtent l="0" t="0" r="0" b="0"/>
                <wp:docPr id="10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14:paraId="444DB94A" w14:textId="77777777" w:rsidR="00AC3773" w:rsidRDefault="00AC3773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74CA32AE" w14:textId="77777777" w:rsidR="00AC3773" w:rsidRDefault="00AC3773" w:rsidP="00040816">
          <w:pPr>
            <w:pStyle w:val="Heading1"/>
            <w:keepNext/>
            <w:spacing w:line="360" w:lineRule="exact"/>
            <w:rPr>
              <w:sz w:val="24"/>
            </w:rPr>
          </w:pPr>
          <w:r>
            <w:t>Probability</w:t>
          </w:r>
        </w:p>
      </w:tc>
    </w:tr>
    <w:tr w:rsidR="00AC3773" w14:paraId="7D5A444A" w14:textId="77777777">
      <w:trPr>
        <w:jc w:val="right"/>
      </w:trPr>
      <w:tc>
        <w:tcPr>
          <w:tcW w:w="2640" w:type="dxa"/>
        </w:tcPr>
        <w:p w14:paraId="0E024F4A" w14:textId="77777777" w:rsidR="00AC3773" w:rsidRDefault="00AC3773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14:paraId="09A8932B" w14:textId="77777777" w:rsidR="00AC3773" w:rsidRDefault="00AC3773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23227E76" w14:textId="77777777" w:rsidR="00AC3773" w:rsidRDefault="00AC3773" w:rsidP="00040816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Basic probability</w:t>
          </w:r>
        </w:p>
      </w:tc>
    </w:tr>
    <w:tr w:rsidR="00AC3773" w14:paraId="4ACADD11" w14:textId="77777777">
      <w:trPr>
        <w:jc w:val="right"/>
      </w:trPr>
      <w:tc>
        <w:tcPr>
          <w:tcW w:w="2640" w:type="dxa"/>
        </w:tcPr>
        <w:p w14:paraId="0AFAB968" w14:textId="77777777" w:rsidR="00AC3773" w:rsidRDefault="00AC3773">
          <w:pPr>
            <w:pStyle w:val="Heading3"/>
            <w:keepNext/>
            <w:ind w:left="0"/>
          </w:pPr>
        </w:p>
      </w:tc>
      <w:tc>
        <w:tcPr>
          <w:tcW w:w="3228" w:type="dxa"/>
        </w:tcPr>
        <w:p w14:paraId="4FA77B42" w14:textId="77777777" w:rsidR="00AC3773" w:rsidRDefault="00AC3773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673080D2" w14:textId="77777777" w:rsidR="00AC3773" w:rsidRDefault="00AC3773" w:rsidP="00040816">
          <w:pPr>
            <w:pStyle w:val="Heading3"/>
            <w:keepNext/>
            <w:ind w:left="0"/>
          </w:pPr>
          <w:r>
            <w:t>Venn diagrams</w:t>
          </w:r>
        </w:p>
      </w:tc>
    </w:tr>
    <w:tr w:rsidR="00AC3773" w14:paraId="7ECFF682" w14:textId="77777777">
      <w:trPr>
        <w:jc w:val="right"/>
      </w:trPr>
      <w:tc>
        <w:tcPr>
          <w:tcW w:w="2640" w:type="dxa"/>
        </w:tcPr>
        <w:p w14:paraId="638FBAC7" w14:textId="77777777" w:rsidR="00AC3773" w:rsidRDefault="00AC3773">
          <w:pPr>
            <w:pStyle w:val="Heading4"/>
            <w:keepNext/>
            <w:jc w:val="right"/>
          </w:pPr>
        </w:p>
      </w:tc>
      <w:tc>
        <w:tcPr>
          <w:tcW w:w="3228" w:type="dxa"/>
        </w:tcPr>
        <w:p w14:paraId="1BFD49D3" w14:textId="77777777" w:rsidR="00AC3773" w:rsidRDefault="00AC3773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5F05DBD9" w14:textId="77777777" w:rsidR="00AC3773" w:rsidRDefault="00AC3773" w:rsidP="00040816">
          <w:pPr>
            <w:pStyle w:val="Heading4"/>
            <w:keepNext/>
            <w:jc w:val="right"/>
          </w:pPr>
          <w:r>
            <w:t>Overview (cont.)</w:t>
          </w:r>
        </w:p>
      </w:tc>
    </w:tr>
    <w:tr w:rsidR="00AC3773" w14:paraId="0A58D1D1" w14:textId="77777777">
      <w:trPr>
        <w:jc w:val="right"/>
      </w:trPr>
      <w:tc>
        <w:tcPr>
          <w:tcW w:w="2640" w:type="dxa"/>
        </w:tcPr>
        <w:p w14:paraId="0B30E1E6" w14:textId="77777777" w:rsidR="00AC3773" w:rsidRDefault="00AC3773">
          <w:pPr>
            <w:pStyle w:val="Heading5"/>
            <w:jc w:val="right"/>
          </w:pPr>
        </w:p>
      </w:tc>
      <w:tc>
        <w:tcPr>
          <w:tcW w:w="3228" w:type="dxa"/>
        </w:tcPr>
        <w:p w14:paraId="6D56F404" w14:textId="77777777" w:rsidR="00AC3773" w:rsidRDefault="00AC3773">
          <w:pPr>
            <w:pStyle w:val="Heading5"/>
            <w:jc w:val="right"/>
          </w:pPr>
        </w:p>
      </w:tc>
      <w:tc>
        <w:tcPr>
          <w:tcW w:w="2880" w:type="dxa"/>
        </w:tcPr>
        <w:p w14:paraId="3BDC37E3" w14:textId="77777777" w:rsidR="00AC3773" w:rsidRDefault="00AC3773">
          <w:pPr>
            <w:pStyle w:val="Heading5"/>
            <w:jc w:val="right"/>
          </w:pPr>
        </w:p>
      </w:tc>
    </w:tr>
  </w:tbl>
  <w:p w14:paraId="0C75E3F2" w14:textId="77777777" w:rsidR="00AC3773" w:rsidRDefault="00C641B2">
    <w:pPr>
      <w:spacing w:line="180" w:lineRule="exact"/>
      <w:ind w:left="-1800" w:right="-1800"/>
    </w:pPr>
    <w:r>
      <w:pict w14:anchorId="3025B797">
        <v:rect id="_x0000_i1026" style="width:576.5pt;height:1pt" o:hrpct="942" o:hralign="center" o:hrstd="t" o:hrnoshade="t" o:hr="t" fillcolor="black" stroked="f"/>
      </w:pict>
    </w:r>
  </w:p>
  <w:p w14:paraId="21B6640D" w14:textId="77777777" w:rsidR="00AC3773" w:rsidRDefault="00AC37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B"/>
    <w:rsid w:val="00040816"/>
    <w:rsid w:val="00051D46"/>
    <w:rsid w:val="000664F4"/>
    <w:rsid w:val="00100BD6"/>
    <w:rsid w:val="0014268A"/>
    <w:rsid w:val="003030AB"/>
    <w:rsid w:val="00357920"/>
    <w:rsid w:val="00393D35"/>
    <w:rsid w:val="0039459C"/>
    <w:rsid w:val="00436E17"/>
    <w:rsid w:val="00437DD3"/>
    <w:rsid w:val="004C5274"/>
    <w:rsid w:val="0055508D"/>
    <w:rsid w:val="00655062"/>
    <w:rsid w:val="007D7DE2"/>
    <w:rsid w:val="008736B2"/>
    <w:rsid w:val="009602F5"/>
    <w:rsid w:val="00A240EE"/>
    <w:rsid w:val="00A40590"/>
    <w:rsid w:val="00A846BF"/>
    <w:rsid w:val="00AB4086"/>
    <w:rsid w:val="00AC3773"/>
    <w:rsid w:val="00AF4F1D"/>
    <w:rsid w:val="00B257B9"/>
    <w:rsid w:val="00B3203E"/>
    <w:rsid w:val="00B32AE8"/>
    <w:rsid w:val="00B81F48"/>
    <w:rsid w:val="00C641B2"/>
    <w:rsid w:val="00CB4D38"/>
    <w:rsid w:val="00CF4686"/>
    <w:rsid w:val="00E50C7D"/>
    <w:rsid w:val="00F301BC"/>
    <w:rsid w:val="00F85E24"/>
    <w:rsid w:val="00FA46C0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69A222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26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4268A"/>
    <w:rPr>
      <w:rFonts w:asciiTheme="majorHAnsi" w:eastAsiaTheme="majorEastAsia" w:hAnsiTheme="majorHAnsi" w:cstheme="majorBidi"/>
      <w:noProof/>
      <w:sz w:val="22"/>
      <w:szCs w:val="22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9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9C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noProof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426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4268A"/>
    <w:rPr>
      <w:rFonts w:asciiTheme="majorHAnsi" w:eastAsiaTheme="majorEastAsia" w:hAnsiTheme="majorHAnsi" w:cstheme="majorBidi"/>
      <w:noProof/>
      <w:sz w:val="22"/>
      <w:szCs w:val="22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9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9C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eople-press.org/2013/06/10/majority-views-nsa-phone-tracking-as-acceptable-anti-terror-tactic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en.wikipedia.org/w/index.php?title=Political_party_strength_in_U.S._states&amp;oldid=699591358" TargetMode="External"/><Relationship Id="rId10" Type="http://schemas.openxmlformats.org/officeDocument/2006/relationships/hyperlink" Target="http://www.gallup.com/poll/163043/americans-disapprove-government-surveillance-program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265</Words>
  <Characters>1511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1773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21</cp:revision>
  <cp:lastPrinted>2016-01-19T05:44:00Z</cp:lastPrinted>
  <dcterms:created xsi:type="dcterms:W3CDTF">2016-01-19T02:37:00Z</dcterms:created>
  <dcterms:modified xsi:type="dcterms:W3CDTF">2016-01-19T05:49:00Z</dcterms:modified>
  <cp:category/>
</cp:coreProperties>
</file>