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2880"/>
        <w:gridCol w:w="3708"/>
        <w:gridCol w:w="2880"/>
      </w:tblGrid>
      <w:tr w:rsidR="00F711E8" w14:paraId="0BC4DA71" w14:textId="77777777">
        <w:trPr>
          <w:trHeight w:val="336"/>
          <w:jc w:val="right"/>
        </w:trPr>
        <w:tc>
          <w:tcPr>
            <w:tcW w:w="2880" w:type="dxa"/>
            <w:vAlign w:val="center"/>
          </w:tcPr>
          <w:p w14:paraId="76212639" w14:textId="77777777" w:rsidR="00F711E8" w:rsidRPr="00C2777D" w:rsidRDefault="0030170C" w:rsidP="00F301BC">
            <w:pPr>
              <w:pStyle w:val="Heading1"/>
              <w:keepNext/>
              <w:spacing w:line="36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319FA001" wp14:editId="53CA2269">
                  <wp:extent cx="1432560" cy="162560"/>
                  <wp:effectExtent l="0" t="0" r="0" b="0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</w:tcPr>
          <w:p w14:paraId="70C441D4" w14:textId="77777777" w:rsidR="00F711E8" w:rsidRDefault="00F711E8" w:rsidP="00F301BC">
            <w:pPr>
              <w:pStyle w:val="Heading1"/>
              <w:keepNext/>
              <w:spacing w:after="40" w:line="360" w:lineRule="exact"/>
              <w:jc w:val="center"/>
              <w:rPr>
                <w:b w:val="0"/>
                <w:smallCaps w:val="0"/>
                <w:color w:val="000000"/>
                <w:sz w:val="18"/>
              </w:rPr>
            </w:pPr>
            <w:r>
              <w:rPr>
                <w:b w:val="0"/>
                <w:smallCaps w:val="0"/>
                <w:color w:val="800000"/>
                <w:sz w:val="18"/>
              </w:rPr>
              <w:t>By:</w:t>
            </w:r>
            <w:r>
              <w:rPr>
                <w:b w:val="0"/>
                <w:smallCaps w:val="0"/>
                <w:color w:val="000000"/>
                <w:sz w:val="18"/>
              </w:rPr>
              <w:t xml:space="preserve">  Neil E. Cotter</w:t>
            </w:r>
          </w:p>
        </w:tc>
        <w:tc>
          <w:tcPr>
            <w:tcW w:w="2880" w:type="dxa"/>
          </w:tcPr>
          <w:p w14:paraId="341E5C3A" w14:textId="77777777" w:rsidR="00F711E8" w:rsidRDefault="00F711E8" w:rsidP="00343471">
            <w:pPr>
              <w:pStyle w:val="Heading1"/>
              <w:keepNext/>
              <w:spacing w:line="360" w:lineRule="exact"/>
              <w:rPr>
                <w:sz w:val="24"/>
              </w:rPr>
            </w:pPr>
            <w:r>
              <w:t>Probability</w:t>
            </w:r>
          </w:p>
        </w:tc>
      </w:tr>
      <w:tr w:rsidR="00F711E8" w14:paraId="4E59F1B4" w14:textId="77777777">
        <w:trPr>
          <w:jc w:val="right"/>
        </w:trPr>
        <w:tc>
          <w:tcPr>
            <w:tcW w:w="2880" w:type="dxa"/>
          </w:tcPr>
          <w:p w14:paraId="19FCCB76" w14:textId="77777777" w:rsidR="00F711E8" w:rsidRDefault="00F711E8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3708" w:type="dxa"/>
          </w:tcPr>
          <w:p w14:paraId="1216405E" w14:textId="77777777" w:rsidR="00F711E8" w:rsidRDefault="00F711E8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2880" w:type="dxa"/>
          </w:tcPr>
          <w:p w14:paraId="7AB00919" w14:textId="77777777" w:rsidR="00F711E8" w:rsidRDefault="00F711E8" w:rsidP="00343471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  <w:r>
              <w:t>Basic probability</w:t>
            </w:r>
          </w:p>
        </w:tc>
      </w:tr>
      <w:tr w:rsidR="00F711E8" w14:paraId="6CAC99BA" w14:textId="77777777">
        <w:trPr>
          <w:jc w:val="right"/>
        </w:trPr>
        <w:tc>
          <w:tcPr>
            <w:tcW w:w="2880" w:type="dxa"/>
          </w:tcPr>
          <w:p w14:paraId="6B9A5656" w14:textId="77777777" w:rsidR="00F711E8" w:rsidRDefault="00F711E8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3708" w:type="dxa"/>
          </w:tcPr>
          <w:p w14:paraId="1AEF1A2E" w14:textId="77777777" w:rsidR="00F711E8" w:rsidRDefault="00F711E8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2880" w:type="dxa"/>
          </w:tcPr>
          <w:p w14:paraId="61CC10C7" w14:textId="77777777" w:rsidR="00F711E8" w:rsidRDefault="00F711E8" w:rsidP="00343471">
            <w:pPr>
              <w:pStyle w:val="Heading3"/>
              <w:keepNext/>
              <w:ind w:left="0"/>
            </w:pPr>
            <w:r>
              <w:t>Law of total probability</w:t>
            </w:r>
          </w:p>
        </w:tc>
      </w:tr>
      <w:tr w:rsidR="00F711E8" w14:paraId="2CCA0D1A" w14:textId="77777777">
        <w:trPr>
          <w:jc w:val="right"/>
        </w:trPr>
        <w:tc>
          <w:tcPr>
            <w:tcW w:w="2880" w:type="dxa"/>
          </w:tcPr>
          <w:p w14:paraId="349262F1" w14:textId="77777777" w:rsidR="00F711E8" w:rsidRDefault="00F711E8">
            <w:pPr>
              <w:pStyle w:val="Heading4"/>
              <w:keepNext/>
              <w:jc w:val="right"/>
            </w:pPr>
          </w:p>
        </w:tc>
        <w:tc>
          <w:tcPr>
            <w:tcW w:w="3708" w:type="dxa"/>
          </w:tcPr>
          <w:p w14:paraId="6EEA8074" w14:textId="77777777" w:rsidR="00F711E8" w:rsidRDefault="00F711E8">
            <w:pPr>
              <w:pStyle w:val="Heading4"/>
              <w:keepNext/>
              <w:jc w:val="right"/>
            </w:pPr>
          </w:p>
        </w:tc>
        <w:tc>
          <w:tcPr>
            <w:tcW w:w="2880" w:type="dxa"/>
          </w:tcPr>
          <w:p w14:paraId="354ED83B" w14:textId="77777777" w:rsidR="00F711E8" w:rsidRDefault="009B6AFE" w:rsidP="00343471">
            <w:pPr>
              <w:pStyle w:val="Heading4"/>
              <w:keepNext/>
              <w:jc w:val="right"/>
            </w:pPr>
            <w:r>
              <w:t>definition</w:t>
            </w:r>
          </w:p>
        </w:tc>
      </w:tr>
      <w:tr w:rsidR="00F301BC" w14:paraId="277ED81B" w14:textId="77777777">
        <w:trPr>
          <w:jc w:val="right"/>
        </w:trPr>
        <w:tc>
          <w:tcPr>
            <w:tcW w:w="2880" w:type="dxa"/>
          </w:tcPr>
          <w:p w14:paraId="5E6564BA" w14:textId="77777777" w:rsidR="00F301BC" w:rsidRDefault="00F301BC">
            <w:pPr>
              <w:pStyle w:val="Heading5"/>
              <w:jc w:val="right"/>
            </w:pPr>
          </w:p>
        </w:tc>
        <w:tc>
          <w:tcPr>
            <w:tcW w:w="3708" w:type="dxa"/>
          </w:tcPr>
          <w:p w14:paraId="72D61BF1" w14:textId="77777777" w:rsidR="00F301BC" w:rsidRDefault="00F301BC">
            <w:pPr>
              <w:pStyle w:val="Heading5"/>
              <w:jc w:val="right"/>
            </w:pPr>
          </w:p>
        </w:tc>
        <w:tc>
          <w:tcPr>
            <w:tcW w:w="2880" w:type="dxa"/>
          </w:tcPr>
          <w:p w14:paraId="1AFAEDBB" w14:textId="77777777" w:rsidR="00F301BC" w:rsidRDefault="00F301BC">
            <w:pPr>
              <w:pStyle w:val="Heading5"/>
              <w:jc w:val="right"/>
            </w:pPr>
          </w:p>
        </w:tc>
      </w:tr>
    </w:tbl>
    <w:p w14:paraId="48354DFD" w14:textId="77777777" w:rsidR="00F301BC" w:rsidRDefault="003F411F">
      <w:pPr>
        <w:spacing w:line="180" w:lineRule="exact"/>
        <w:ind w:left="-1800" w:right="-1800"/>
      </w:pPr>
      <w:r>
        <w:pict w14:anchorId="0C9708C0">
          <v:rect id="_x0000_i1025" style="width:576.5pt;height:1pt" o:hrpct="942" o:hralign="center" o:hrstd="t" o:hrnoshade="t" o:hr="t" fillcolor="black" stroked="f"/>
        </w:pict>
      </w:r>
    </w:p>
    <w:p w14:paraId="3FFDB602" w14:textId="77777777" w:rsidR="00F301BC" w:rsidRDefault="00F301BC">
      <w:pPr>
        <w:pStyle w:val="Heading3"/>
        <w:spacing w:line="320" w:lineRule="exact"/>
        <w:ind w:left="0"/>
        <w:jc w:val="left"/>
      </w:pPr>
    </w:p>
    <w:p w14:paraId="36E64577" w14:textId="0CB6E12E" w:rsidR="00F301BC" w:rsidRDefault="00F301BC">
      <w:pPr>
        <w:pStyle w:val="ct"/>
        <w:rPr>
          <w:rFonts w:ascii="Symbol" w:hAnsi="Symbol"/>
        </w:rPr>
      </w:pPr>
      <w:r>
        <w:rPr>
          <w:b/>
          <w:smallCaps/>
        </w:rPr>
        <w:t>Tool</w:t>
      </w:r>
      <w:r>
        <w:rPr>
          <w:b/>
        </w:rPr>
        <w:t>:</w:t>
      </w:r>
      <w:r>
        <w:tab/>
      </w:r>
      <w:r w:rsidR="005F7A07">
        <w:t xml:space="preserve">The Law of Total Probability states that, given a partition </w:t>
      </w:r>
      <w:r w:rsidR="005F7A07">
        <w:rPr>
          <w:i/>
        </w:rPr>
        <w:t>A</w:t>
      </w:r>
      <w:r w:rsidR="005F7A07" w:rsidRPr="00DD5608">
        <w:rPr>
          <w:position w:val="-6"/>
          <w:sz w:val="20"/>
        </w:rPr>
        <w:t>1</w:t>
      </w:r>
      <w:r w:rsidR="005F7A07">
        <w:t xml:space="preserve">, </w:t>
      </w:r>
      <w:r w:rsidR="005F7A07">
        <w:rPr>
          <w:i/>
        </w:rPr>
        <w:t>A</w:t>
      </w:r>
      <w:r w:rsidR="005F7A07">
        <w:rPr>
          <w:position w:val="-6"/>
          <w:sz w:val="20"/>
        </w:rPr>
        <w:t>2</w:t>
      </w:r>
      <w:r w:rsidR="005F7A07">
        <w:t xml:space="preserve">, </w:t>
      </w:r>
      <w:r w:rsidR="005F7A07">
        <w:rPr>
          <w:i/>
        </w:rPr>
        <w:t>A</w:t>
      </w:r>
      <w:r w:rsidR="005F7A07">
        <w:rPr>
          <w:position w:val="-6"/>
          <w:sz w:val="20"/>
        </w:rPr>
        <w:t>3</w:t>
      </w:r>
      <w:r w:rsidR="005F7A07">
        <w:t xml:space="preserve">, ..., </w:t>
      </w:r>
      <w:r w:rsidR="005F7A07">
        <w:rPr>
          <w:i/>
        </w:rPr>
        <w:t>A</w:t>
      </w:r>
      <w:r w:rsidR="005F7A07">
        <w:rPr>
          <w:i/>
          <w:position w:val="-6"/>
          <w:sz w:val="20"/>
        </w:rPr>
        <w:t>n</w:t>
      </w:r>
      <w:r w:rsidR="005F7A07">
        <w:t xml:space="preserve"> of sample space </w:t>
      </w:r>
      <w:r w:rsidR="005F7A07">
        <w:rPr>
          <w:i/>
        </w:rPr>
        <w:t>S</w:t>
      </w:r>
      <w:r w:rsidR="005F7A07">
        <w:t xml:space="preserve">, the probability of any event </w:t>
      </w:r>
      <w:r w:rsidR="005F7A07">
        <w:rPr>
          <w:i/>
        </w:rPr>
        <w:t>B</w:t>
      </w:r>
      <w:r w:rsidR="005F7A07">
        <w:t xml:space="preserve"> is given by </w:t>
      </w:r>
      <w:r w:rsidR="00C423C6">
        <w:t xml:space="preserve">the sum of the probabilities of </w:t>
      </w:r>
      <w:r w:rsidR="00C423C6">
        <w:rPr>
          <w:i/>
        </w:rPr>
        <w:t>B</w:t>
      </w:r>
      <w:r w:rsidR="00C423C6">
        <w:t xml:space="preserve"> intersected with each of the </w:t>
      </w:r>
      <w:r w:rsidR="00C423C6">
        <w:rPr>
          <w:i/>
        </w:rPr>
        <w:t>A</w:t>
      </w:r>
      <w:r w:rsidR="00C423C6">
        <w:rPr>
          <w:rFonts w:ascii="Times New Roman" w:hAnsi="Times New Roman"/>
          <w:i/>
          <w:position w:val="-6"/>
          <w:sz w:val="20"/>
        </w:rPr>
        <w:t>i</w:t>
      </w:r>
      <w:r w:rsidR="00C423C6">
        <w:t>:</w:t>
      </w:r>
    </w:p>
    <w:p w14:paraId="18E1073E" w14:textId="1CD11B92" w:rsidR="00F301BC" w:rsidRDefault="00C423C6">
      <w:pPr>
        <w:pStyle w:val="cteqn"/>
        <w:spacing w:before="60" w:after="60"/>
        <w:rPr>
          <w:rFonts w:ascii="Times-Roman" w:hAnsi="Times-Roman"/>
        </w:rPr>
      </w:pPr>
      <w:r w:rsidRPr="00C423C6">
        <w:rPr>
          <w:rFonts w:ascii="Times-Roman" w:hAnsi="Times-Roman"/>
          <w:position w:val="-14"/>
        </w:rPr>
        <w:object w:dxaOrig="5860" w:dyaOrig="400" w14:anchorId="23054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92.8pt;height:20pt" o:ole="">
            <v:imagedata r:id="rId8" o:title=""/>
          </v:shape>
          <o:OLEObject Type="Embed" ProgID="Equation.DSMT4" ShapeID="_x0000_i1026" DrawAspect="Content" ObjectID="_1388523068" r:id="rId9"/>
        </w:object>
      </w:r>
      <w:r>
        <w:rPr>
          <w:rFonts w:ascii="Times-Roman" w:hAnsi="Times-Roman"/>
        </w:rPr>
        <w:t xml:space="preserve"> </w:t>
      </w:r>
    </w:p>
    <w:p w14:paraId="0F2B9722" w14:textId="5A58B94A" w:rsidR="00C423C6" w:rsidRDefault="00C423C6" w:rsidP="00C423C6">
      <w:pPr>
        <w:pStyle w:val="ctbody"/>
      </w:pPr>
      <w:r>
        <w:t xml:space="preserve">The Law of Total Probability is often used to find one unknown probability of the intersection of </w:t>
      </w:r>
      <w:r w:rsidR="00FD0F00">
        <w:t xml:space="preserve">events when all of the other terms (including </w:t>
      </w:r>
      <w:r w:rsidR="00FD0F00">
        <w:rPr>
          <w:i/>
        </w:rPr>
        <w:t>P</w:t>
      </w:r>
      <w:r w:rsidR="00FD0F00">
        <w:t>(</w:t>
      </w:r>
      <w:r w:rsidR="00FD0F00">
        <w:rPr>
          <w:i/>
        </w:rPr>
        <w:t>B</w:t>
      </w:r>
      <w:r w:rsidR="00FD0F00">
        <w:t>)) are known.</w:t>
      </w:r>
    </w:p>
    <w:p w14:paraId="2D852DA4" w14:textId="6934AF30" w:rsidR="00A82413" w:rsidRDefault="00A82413" w:rsidP="00C423C6">
      <w:pPr>
        <w:pStyle w:val="ctbody"/>
      </w:pPr>
      <w:r>
        <w:t>A Venn diagram illustrates the law of total probability in an intuitively obvious way.</w:t>
      </w:r>
    </w:p>
    <w:p w14:paraId="60D8F4CE" w14:textId="60D1CF11" w:rsidR="0000445A" w:rsidRDefault="003F411F" w:rsidP="00C423C6">
      <w:pPr>
        <w:pStyle w:val="ctbody"/>
      </w:pPr>
      <w:r>
        <w:rPr>
          <w:noProof/>
        </w:rPr>
        <w:drawing>
          <wp:inline distT="0" distB="0" distL="0" distR="0" wp14:anchorId="55EB6F41" wp14:editId="50D9E85A">
            <wp:extent cx="2736850" cy="19050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3F620" w14:textId="47859B9F" w:rsidR="009C312E" w:rsidRPr="003F411F" w:rsidRDefault="009C312E" w:rsidP="00C423C6">
      <w:pPr>
        <w:pStyle w:val="ctbody"/>
      </w:pPr>
      <w:r>
        <w:t xml:space="preserve">Here, </w:t>
      </w:r>
      <w:r>
        <w:rPr>
          <w:i/>
        </w:rPr>
        <w:t>n</w:t>
      </w:r>
      <w:r>
        <w:t xml:space="preserve"> = 6.</w:t>
      </w:r>
      <w:r w:rsidR="003F411F">
        <w:t xml:space="preserve">  It is easy to see that the area of </w:t>
      </w:r>
      <w:r w:rsidR="003F411F">
        <w:rPr>
          <w:i/>
        </w:rPr>
        <w:t>B</w:t>
      </w:r>
      <w:r w:rsidR="003F411F">
        <w:t xml:space="preserve">, which represents </w:t>
      </w:r>
      <w:r w:rsidR="003F411F">
        <w:rPr>
          <w:i/>
        </w:rPr>
        <w:t>P</w:t>
      </w:r>
      <w:r w:rsidR="003F411F">
        <w:t>(</w:t>
      </w:r>
      <w:r w:rsidR="003F411F">
        <w:rPr>
          <w:i/>
        </w:rPr>
        <w:t>B</w:t>
      </w:r>
      <w:r w:rsidR="003F411F">
        <w:t xml:space="preserve">), is equal to the areas of the overlaps of </w:t>
      </w:r>
      <w:r w:rsidR="003F411F">
        <w:rPr>
          <w:i/>
        </w:rPr>
        <w:t>B</w:t>
      </w:r>
      <w:r w:rsidR="003F411F">
        <w:t xml:space="preserve"> with each of the </w:t>
      </w:r>
      <w:r w:rsidR="003F411F">
        <w:rPr>
          <w:i/>
        </w:rPr>
        <w:t>A</w:t>
      </w:r>
      <w:r w:rsidR="003F411F">
        <w:rPr>
          <w:rFonts w:ascii="Times New Roman" w:hAnsi="Times New Roman"/>
          <w:i/>
          <w:position w:val="-6"/>
          <w:sz w:val="20"/>
        </w:rPr>
        <w:t>i</w:t>
      </w:r>
      <w:r w:rsidR="003F411F">
        <w:t>.</w:t>
      </w:r>
      <w:bookmarkStart w:id="0" w:name="_GoBack"/>
      <w:bookmarkEnd w:id="0"/>
    </w:p>
    <w:p w14:paraId="1EA4C17D" w14:textId="77777777" w:rsidR="00F301BC" w:rsidRDefault="00F301BC">
      <w:pPr>
        <w:pStyle w:val="Heading5"/>
      </w:pPr>
    </w:p>
    <w:p w14:paraId="322273BA" w14:textId="77777777" w:rsidR="00C423C6" w:rsidRDefault="00C423C6">
      <w:pPr>
        <w:pStyle w:val="Heading5"/>
      </w:pPr>
    </w:p>
    <w:p w14:paraId="3AAAE017" w14:textId="77777777" w:rsidR="00C423C6" w:rsidRDefault="00C423C6">
      <w:pPr>
        <w:pStyle w:val="Heading5"/>
      </w:pPr>
    </w:p>
    <w:sectPr w:rsidR="00C423C6">
      <w:headerReference w:type="default" r:id="rId11"/>
      <w:footerReference w:type="default" r:id="rId12"/>
      <w:pgSz w:w="12240" w:h="15840"/>
      <w:pgMar w:top="960" w:right="1440" w:bottom="960" w:left="1440" w:header="960" w:footer="9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A0780" w14:textId="77777777" w:rsidR="00343471" w:rsidRDefault="00343471">
      <w:pPr>
        <w:spacing w:line="240" w:lineRule="auto"/>
      </w:pPr>
      <w:r>
        <w:separator/>
      </w:r>
    </w:p>
  </w:endnote>
  <w:endnote w:type="continuationSeparator" w:id="0">
    <w:p w14:paraId="3B20BFB1" w14:textId="77777777" w:rsidR="00343471" w:rsidRDefault="00343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205020603050602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B99FA" w14:textId="77777777" w:rsidR="00F301BC" w:rsidRDefault="00F301BC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C82CA" w14:textId="77777777" w:rsidR="00343471" w:rsidRDefault="00343471">
      <w:pPr>
        <w:spacing w:line="240" w:lineRule="auto"/>
      </w:pPr>
      <w:r>
        <w:separator/>
      </w:r>
    </w:p>
  </w:footnote>
  <w:footnote w:type="continuationSeparator" w:id="0">
    <w:p w14:paraId="49902973" w14:textId="77777777" w:rsidR="00343471" w:rsidRDefault="00343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000" w:firstRow="0" w:lastRow="0" w:firstColumn="0" w:lastColumn="0" w:noHBand="0" w:noVBand="0"/>
    </w:tblPr>
    <w:tblGrid>
      <w:gridCol w:w="2640"/>
      <w:gridCol w:w="3228"/>
      <w:gridCol w:w="2880"/>
    </w:tblGrid>
    <w:tr w:rsidR="00F711E8" w14:paraId="15B81EFC" w14:textId="77777777">
      <w:trPr>
        <w:jc w:val="right"/>
      </w:trPr>
      <w:tc>
        <w:tcPr>
          <w:tcW w:w="2640" w:type="dxa"/>
        </w:tcPr>
        <w:p w14:paraId="6A6D585A" w14:textId="77777777" w:rsidR="00F711E8" w:rsidRDefault="0030170C">
          <w:pPr>
            <w:pStyle w:val="Heading1"/>
            <w:keepNext/>
            <w:spacing w:line="360" w:lineRule="exact"/>
            <w:jc w:val="left"/>
            <w:rPr>
              <w:sz w:val="24"/>
            </w:rPr>
          </w:pPr>
          <w:r>
            <w:rPr>
              <w:noProof/>
              <w:szCs w:val="24"/>
            </w:rPr>
            <w:drawing>
              <wp:inline distT="0" distB="0" distL="0" distR="0" wp14:anchorId="1F6D2BA1" wp14:editId="3A2F7643">
                <wp:extent cx="1432560" cy="162560"/>
                <wp:effectExtent l="0" t="0" r="0" b="0"/>
                <wp:docPr id="5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8" w:type="dxa"/>
        </w:tcPr>
        <w:p w14:paraId="7FE36D1A" w14:textId="77777777" w:rsidR="00F711E8" w:rsidRDefault="00F711E8">
          <w:pPr>
            <w:pStyle w:val="Heading1"/>
            <w:keepNext/>
            <w:spacing w:line="360" w:lineRule="exact"/>
            <w:jc w:val="center"/>
            <w:rPr>
              <w:b w:val="0"/>
              <w:smallCaps w:val="0"/>
              <w:color w:val="000000"/>
              <w:sz w:val="18"/>
            </w:rPr>
          </w:pPr>
          <w:r>
            <w:rPr>
              <w:b w:val="0"/>
              <w:smallCaps w:val="0"/>
              <w:color w:val="800000"/>
              <w:sz w:val="18"/>
            </w:rPr>
            <w:t>By:</w:t>
          </w:r>
          <w:r>
            <w:rPr>
              <w:b w:val="0"/>
              <w:smallCaps w:val="0"/>
              <w:color w:val="000000"/>
              <w:sz w:val="18"/>
            </w:rPr>
            <w:t xml:space="preserve">  Neil E. Cotter</w:t>
          </w:r>
        </w:p>
      </w:tc>
      <w:tc>
        <w:tcPr>
          <w:tcW w:w="2880" w:type="dxa"/>
        </w:tcPr>
        <w:p w14:paraId="52DD7AAD" w14:textId="77777777" w:rsidR="00F711E8" w:rsidRDefault="00F711E8" w:rsidP="00343471">
          <w:pPr>
            <w:pStyle w:val="Heading1"/>
            <w:keepNext/>
            <w:spacing w:line="360" w:lineRule="exact"/>
            <w:rPr>
              <w:sz w:val="24"/>
            </w:rPr>
          </w:pPr>
          <w:r>
            <w:t>Probability</w:t>
          </w:r>
        </w:p>
      </w:tc>
    </w:tr>
    <w:tr w:rsidR="00F711E8" w14:paraId="0855F162" w14:textId="77777777">
      <w:trPr>
        <w:jc w:val="right"/>
      </w:trPr>
      <w:tc>
        <w:tcPr>
          <w:tcW w:w="2640" w:type="dxa"/>
        </w:tcPr>
        <w:p w14:paraId="53895EBF" w14:textId="77777777" w:rsidR="00F711E8" w:rsidRDefault="00F711E8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3228" w:type="dxa"/>
        </w:tcPr>
        <w:p w14:paraId="58049DE0" w14:textId="77777777" w:rsidR="00F711E8" w:rsidRDefault="00F711E8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2880" w:type="dxa"/>
        </w:tcPr>
        <w:p w14:paraId="44298812" w14:textId="77777777" w:rsidR="00F711E8" w:rsidRDefault="00F711E8" w:rsidP="00343471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  <w:r>
            <w:t>Basic probability</w:t>
          </w:r>
        </w:p>
      </w:tc>
    </w:tr>
    <w:tr w:rsidR="00F711E8" w14:paraId="4F523221" w14:textId="77777777">
      <w:trPr>
        <w:jc w:val="right"/>
      </w:trPr>
      <w:tc>
        <w:tcPr>
          <w:tcW w:w="2640" w:type="dxa"/>
        </w:tcPr>
        <w:p w14:paraId="641A0415" w14:textId="77777777" w:rsidR="00F711E8" w:rsidRDefault="00F711E8">
          <w:pPr>
            <w:pStyle w:val="Heading3"/>
            <w:keepNext/>
            <w:ind w:left="0"/>
          </w:pPr>
        </w:p>
      </w:tc>
      <w:tc>
        <w:tcPr>
          <w:tcW w:w="3228" w:type="dxa"/>
        </w:tcPr>
        <w:p w14:paraId="551B7E68" w14:textId="77777777" w:rsidR="00F711E8" w:rsidRDefault="00F711E8">
          <w:pPr>
            <w:pStyle w:val="Heading3"/>
            <w:keepNext/>
            <w:ind w:left="0"/>
          </w:pPr>
        </w:p>
      </w:tc>
      <w:tc>
        <w:tcPr>
          <w:tcW w:w="2880" w:type="dxa"/>
        </w:tcPr>
        <w:p w14:paraId="1ACD4163" w14:textId="77777777" w:rsidR="00F711E8" w:rsidRDefault="009B6AFE" w:rsidP="00343471">
          <w:pPr>
            <w:pStyle w:val="Heading3"/>
            <w:keepNext/>
            <w:ind w:left="0"/>
          </w:pPr>
          <w:r>
            <w:t>Law of total probability def</w:t>
          </w:r>
        </w:p>
      </w:tc>
    </w:tr>
    <w:tr w:rsidR="00F711E8" w14:paraId="18806585" w14:textId="77777777">
      <w:trPr>
        <w:jc w:val="right"/>
      </w:trPr>
      <w:tc>
        <w:tcPr>
          <w:tcW w:w="2640" w:type="dxa"/>
        </w:tcPr>
        <w:p w14:paraId="1F59FA8D" w14:textId="77777777" w:rsidR="00F711E8" w:rsidRDefault="00F711E8">
          <w:pPr>
            <w:pStyle w:val="Heading4"/>
            <w:keepNext/>
            <w:jc w:val="right"/>
          </w:pPr>
        </w:p>
      </w:tc>
      <w:tc>
        <w:tcPr>
          <w:tcW w:w="3228" w:type="dxa"/>
        </w:tcPr>
        <w:p w14:paraId="59EDAF8A" w14:textId="77777777" w:rsidR="00F711E8" w:rsidRDefault="00F711E8">
          <w:pPr>
            <w:pStyle w:val="Heading4"/>
            <w:keepNext/>
            <w:jc w:val="right"/>
          </w:pPr>
        </w:p>
      </w:tc>
      <w:tc>
        <w:tcPr>
          <w:tcW w:w="2880" w:type="dxa"/>
        </w:tcPr>
        <w:p w14:paraId="0E742371" w14:textId="4980EC20" w:rsidR="00F711E8" w:rsidRDefault="00C423C6" w:rsidP="00343471">
          <w:pPr>
            <w:pStyle w:val="Heading4"/>
            <w:keepNext/>
            <w:jc w:val="right"/>
          </w:pPr>
          <w:r>
            <w:t xml:space="preserve">definition </w:t>
          </w:r>
          <w:r w:rsidR="009B6AFE">
            <w:t>(cont.)</w:t>
          </w:r>
        </w:p>
      </w:tc>
    </w:tr>
    <w:tr w:rsidR="00F301BC" w14:paraId="060951F5" w14:textId="77777777">
      <w:trPr>
        <w:jc w:val="right"/>
      </w:trPr>
      <w:tc>
        <w:tcPr>
          <w:tcW w:w="2640" w:type="dxa"/>
        </w:tcPr>
        <w:p w14:paraId="10C34D07" w14:textId="77777777" w:rsidR="00F301BC" w:rsidRDefault="00F301BC">
          <w:pPr>
            <w:pStyle w:val="Heading5"/>
            <w:jc w:val="right"/>
          </w:pPr>
        </w:p>
      </w:tc>
      <w:tc>
        <w:tcPr>
          <w:tcW w:w="3228" w:type="dxa"/>
        </w:tcPr>
        <w:p w14:paraId="2F6EB161" w14:textId="77777777" w:rsidR="00F301BC" w:rsidRDefault="00F301BC">
          <w:pPr>
            <w:pStyle w:val="Heading5"/>
            <w:jc w:val="right"/>
          </w:pPr>
        </w:p>
      </w:tc>
      <w:tc>
        <w:tcPr>
          <w:tcW w:w="2880" w:type="dxa"/>
        </w:tcPr>
        <w:p w14:paraId="449793AE" w14:textId="77777777" w:rsidR="00F301BC" w:rsidRDefault="00F301BC">
          <w:pPr>
            <w:pStyle w:val="Heading5"/>
            <w:jc w:val="right"/>
          </w:pPr>
        </w:p>
      </w:tc>
    </w:tr>
  </w:tbl>
  <w:p w14:paraId="2E99CC04" w14:textId="77777777" w:rsidR="00F301BC" w:rsidRDefault="003F411F">
    <w:pPr>
      <w:spacing w:line="180" w:lineRule="exact"/>
      <w:ind w:left="-1800" w:right="-1800"/>
    </w:pPr>
    <w:r>
      <w:pict w14:anchorId="49D8B9B6">
        <v:rect id="_x0000_i1027" style="width:576.5pt;height:1pt" o:hrpct="942" o:hralign="center" o:hrstd="t" o:hrnoshade="t" o:hr="t" fillcolor="black" stroked="f"/>
      </w:pict>
    </w:r>
  </w:p>
  <w:p w14:paraId="5D348F24" w14:textId="77777777" w:rsidR="00F301BC" w:rsidRDefault="00F301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AB"/>
    <w:rsid w:val="0000445A"/>
    <w:rsid w:val="0030170C"/>
    <w:rsid w:val="003030AB"/>
    <w:rsid w:val="00343471"/>
    <w:rsid w:val="003F411F"/>
    <w:rsid w:val="005F7A07"/>
    <w:rsid w:val="009B6AFE"/>
    <w:rsid w:val="009C312E"/>
    <w:rsid w:val="00A82413"/>
    <w:rsid w:val="00C423C6"/>
    <w:rsid w:val="00D15014"/>
    <w:rsid w:val="00F301BC"/>
    <w:rsid w:val="00F711E8"/>
    <w:rsid w:val="00FD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3"/>
    <o:shapelayout v:ext="edit">
      <o:idmap v:ext="edit" data="1"/>
    </o:shapelayout>
  </w:shapeDefaults>
  <w:decimalSymbol w:val="."/>
  <w:listSeparator w:val=","/>
  <w14:docId w14:val="719E3B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A0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A07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A0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A07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emf"/><Relationship Id="rId9" Type="http://schemas.openxmlformats.org/officeDocument/2006/relationships/oleObject" Target="embeddings/oleObject1.bin"/><Relationship Id="rId1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Conceptual Tools</vt:lpstr>
    </vt:vector>
  </TitlesOfParts>
  <Manager/>
  <Company>University of Utah</Company>
  <LinksUpToDate>false</LinksUpToDate>
  <CharactersWithSpaces>739</CharactersWithSpaces>
  <SharedDoc>false</SharedDoc>
  <HyperlinkBase/>
  <HLinks>
    <vt:vector size="6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http://www.itl.nist.gov/div898/handbook/eda/section3/eda3672.htm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9</cp:revision>
  <cp:lastPrinted>2005-08-12T22:40:00Z</cp:lastPrinted>
  <dcterms:created xsi:type="dcterms:W3CDTF">2016-01-19T03:16:00Z</dcterms:created>
  <dcterms:modified xsi:type="dcterms:W3CDTF">2016-01-19T07:04:00Z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